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85DC" w14:textId="77777777" w:rsidR="00C671F6" w:rsidRDefault="00C671F6" w:rsidP="00C671F6">
      <w:pPr>
        <w:pBdr>
          <w:top w:val="single" w:sz="4" w:space="1" w:color="auto"/>
        </w:pBdr>
        <w:ind w:left="360" w:hanging="360"/>
        <w:jc w:val="center"/>
        <w:rPr>
          <w:b/>
          <w:bCs/>
          <w:color w:val="C00000"/>
          <w:sz w:val="24"/>
          <w:szCs w:val="24"/>
        </w:rPr>
      </w:pPr>
    </w:p>
    <w:p w14:paraId="34D73DEB" w14:textId="20CAE575" w:rsidR="004973F0" w:rsidRPr="004973F0" w:rsidRDefault="004973F0" w:rsidP="004973F0">
      <w:pPr>
        <w:ind w:left="360" w:hanging="360"/>
        <w:jc w:val="center"/>
        <w:rPr>
          <w:b/>
          <w:bCs/>
          <w:color w:val="C00000"/>
          <w:sz w:val="24"/>
          <w:szCs w:val="24"/>
        </w:rPr>
      </w:pPr>
      <w:r w:rsidRPr="004973F0">
        <w:rPr>
          <w:b/>
          <w:bCs/>
          <w:color w:val="C00000"/>
          <w:sz w:val="24"/>
          <w:szCs w:val="24"/>
        </w:rPr>
        <w:t xml:space="preserve">SLIDE </w:t>
      </w:r>
      <w:r w:rsidRPr="004973F0">
        <w:rPr>
          <w:b/>
          <w:bCs/>
          <w:color w:val="C00000"/>
          <w:sz w:val="24"/>
          <w:szCs w:val="24"/>
        </w:rPr>
        <w:t>1</w:t>
      </w:r>
    </w:p>
    <w:p w14:paraId="3F2E8A87" w14:textId="62432B8F" w:rsidR="004973F0" w:rsidRDefault="004973F0" w:rsidP="004973F0">
      <w:pPr>
        <w:ind w:left="360" w:hanging="360"/>
        <w:rPr>
          <w:b/>
          <w:bCs/>
          <w:color w:val="C00000"/>
          <w:sz w:val="24"/>
          <w:szCs w:val="24"/>
        </w:rPr>
      </w:pPr>
    </w:p>
    <w:p w14:paraId="20F35E72" w14:textId="1BD4A5F2" w:rsidR="004973F0" w:rsidRPr="00C671F6" w:rsidRDefault="00C671F6" w:rsidP="004973F0">
      <w:pPr>
        <w:spacing w:line="240" w:lineRule="auto"/>
        <w:rPr>
          <w:rFonts w:eastAsia="Times New Roman"/>
          <w:b/>
          <w:bCs/>
          <w:color w:val="000000" w:themeColor="text1"/>
          <w:sz w:val="24"/>
          <w:szCs w:val="24"/>
          <w:lang w:val="en-C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val="en-CA"/>
        </w:rPr>
        <w:t xml:space="preserve">Presentation </w:t>
      </w:r>
      <w:r w:rsidR="004973F0" w:rsidRPr="00C671F6">
        <w:rPr>
          <w:rFonts w:eastAsia="Times New Roman"/>
          <w:b/>
          <w:bCs/>
          <w:color w:val="000000" w:themeColor="text1"/>
          <w:sz w:val="24"/>
          <w:szCs w:val="24"/>
          <w:lang w:val="en-CA"/>
        </w:rPr>
        <w:t>Title:</w:t>
      </w:r>
    </w:p>
    <w:p w14:paraId="12810095" w14:textId="77777777" w:rsidR="004973F0" w:rsidRDefault="004973F0" w:rsidP="004973F0">
      <w:pPr>
        <w:spacing w:line="240" w:lineRule="auto"/>
        <w:rPr>
          <w:rFonts w:eastAsia="Times New Roman"/>
          <w:color w:val="A50001"/>
          <w:sz w:val="24"/>
          <w:szCs w:val="24"/>
          <w:lang w:val="en-CA"/>
        </w:rPr>
      </w:pPr>
    </w:p>
    <w:p w14:paraId="76B6D32B" w14:textId="337B0BD0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 w:rsidRPr="004973F0">
        <w:rPr>
          <w:rFonts w:eastAsia="Times New Roman"/>
          <w:color w:val="000000" w:themeColor="text1"/>
          <w:sz w:val="24"/>
          <w:szCs w:val="24"/>
          <w:lang w:val="en-CA"/>
        </w:rPr>
        <w:t>Employment Outcomes for Persons with Early vs Later Disability</w:t>
      </w:r>
      <w:r w:rsidRPr="004973F0">
        <w:rPr>
          <w:rFonts w:eastAsia="Times New Roman"/>
          <w:color w:val="000000" w:themeColor="text1"/>
          <w:sz w:val="24"/>
          <w:szCs w:val="24"/>
          <w:lang w:val="en-CA"/>
        </w:rPr>
        <w:t xml:space="preserve"> </w:t>
      </w:r>
      <w:r w:rsidRPr="004973F0">
        <w:rPr>
          <w:rFonts w:eastAsia="Times New Roman"/>
          <w:color w:val="000000" w:themeColor="text1"/>
          <w:sz w:val="24"/>
          <w:szCs w:val="24"/>
          <w:lang w:val="en-CA"/>
        </w:rPr>
        <w:t>Onset: Preliminary Findings from the 2017 Canadian Survey on Disability</w:t>
      </w:r>
    </w:p>
    <w:p w14:paraId="5ED01E84" w14:textId="77777777" w:rsidR="004973F0" w:rsidRPr="004973F0" w:rsidRDefault="004973F0" w:rsidP="004973F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</w:pPr>
    </w:p>
    <w:p w14:paraId="712F9E91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</w:pPr>
      <w:r w:rsidRPr="004973F0">
        <w:rPr>
          <w:rFonts w:eastAsia="Times New Roman"/>
          <w:b/>
          <w:bCs/>
          <w:color w:val="000000" w:themeColor="text1"/>
          <w:sz w:val="24"/>
          <w:szCs w:val="24"/>
          <w:lang w:val="en-CA"/>
        </w:rPr>
        <w:t>Presented by:</w:t>
      </w:r>
    </w:p>
    <w:p w14:paraId="4AE3211A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0679C92D" w14:textId="16FFC0F9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4973F0">
        <w:rPr>
          <w:rFonts w:eastAsia="Times New Roman"/>
          <w:color w:val="000000"/>
          <w:sz w:val="24"/>
          <w:szCs w:val="24"/>
          <w:lang w:val="en-CA"/>
        </w:rPr>
        <w:t>Stuart Morris</w:t>
      </w:r>
    </w:p>
    <w:p w14:paraId="092777F3" w14:textId="6C9AD16B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4973F0">
        <w:rPr>
          <w:rFonts w:eastAsia="Times New Roman"/>
          <w:color w:val="000000"/>
          <w:sz w:val="24"/>
          <w:szCs w:val="24"/>
          <w:lang w:val="en-CA"/>
        </w:rPr>
        <w:t>Senior Research Advisor</w:t>
      </w:r>
    </w:p>
    <w:p w14:paraId="4A316C62" w14:textId="0A60E239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4973F0">
        <w:rPr>
          <w:rFonts w:eastAsia="Times New Roman"/>
          <w:color w:val="000000"/>
          <w:sz w:val="24"/>
          <w:szCs w:val="24"/>
          <w:lang w:val="en-CA"/>
        </w:rPr>
        <w:t>Disability and Accessibility Research,</w:t>
      </w:r>
    </w:p>
    <w:p w14:paraId="6517D3E6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4973F0">
        <w:rPr>
          <w:rFonts w:eastAsia="Times New Roman"/>
          <w:color w:val="000000"/>
          <w:sz w:val="24"/>
          <w:szCs w:val="24"/>
          <w:lang w:val="en-CA"/>
        </w:rPr>
        <w:t>Employment and Social Development Canada (ESDC)</w:t>
      </w:r>
    </w:p>
    <w:p w14:paraId="5E2918C3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69A7D47E" w14:textId="47BB4EF4" w:rsidR="004973F0" w:rsidRDefault="004973F0" w:rsidP="004973F0">
      <w:pPr>
        <w:spacing w:line="240" w:lineRule="auto"/>
        <w:rPr>
          <w:rFonts w:eastAsia="Times New Roman"/>
          <w:color w:val="000000"/>
          <w:sz w:val="24"/>
          <w:szCs w:val="24"/>
          <w:lang w:val="en-CA"/>
        </w:rPr>
      </w:pPr>
      <w:r w:rsidRPr="004973F0">
        <w:rPr>
          <w:rFonts w:eastAsia="Times New Roman"/>
          <w:color w:val="000000"/>
          <w:sz w:val="24"/>
          <w:szCs w:val="24"/>
          <w:lang w:val="en-CA"/>
        </w:rPr>
        <w:t>November 2020</w:t>
      </w:r>
    </w:p>
    <w:p w14:paraId="77D0D010" w14:textId="77777777" w:rsidR="00C671F6" w:rsidRPr="004973F0" w:rsidRDefault="00C671F6" w:rsidP="00C671F6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711FC5D1" w14:textId="77777777" w:rsidR="004973F0" w:rsidRDefault="004973F0" w:rsidP="004973F0">
      <w:pPr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E5E034B" w14:textId="28A58659" w:rsidR="001453C0" w:rsidRPr="004973F0" w:rsidRDefault="001453C0" w:rsidP="004973F0">
      <w:pPr>
        <w:jc w:val="center"/>
        <w:rPr>
          <w:b/>
          <w:bCs/>
          <w:color w:val="C00000"/>
          <w:sz w:val="24"/>
          <w:szCs w:val="24"/>
        </w:rPr>
      </w:pPr>
      <w:r w:rsidRPr="004973F0">
        <w:rPr>
          <w:b/>
          <w:bCs/>
          <w:color w:val="C00000"/>
          <w:sz w:val="24"/>
          <w:szCs w:val="24"/>
        </w:rPr>
        <w:t>SLIDE 2</w:t>
      </w:r>
    </w:p>
    <w:p w14:paraId="08AF49F4" w14:textId="77777777" w:rsidR="00AE3D85" w:rsidRPr="004973F0" w:rsidRDefault="00AE3D85" w:rsidP="00AE3D85">
      <w:pPr>
        <w:ind w:left="360" w:hanging="360"/>
        <w:jc w:val="both"/>
        <w:rPr>
          <w:b/>
          <w:bCs/>
          <w:color w:val="C00000"/>
          <w:sz w:val="24"/>
          <w:szCs w:val="24"/>
        </w:rPr>
      </w:pPr>
    </w:p>
    <w:p w14:paraId="7C434049" w14:textId="1818DAEC" w:rsidR="001453C0" w:rsidRPr="00010E26" w:rsidRDefault="001453C0" w:rsidP="00010E26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010E26">
        <w:rPr>
          <w:bCs/>
          <w:color w:val="000000" w:themeColor="text1"/>
          <w:sz w:val="24"/>
          <w:szCs w:val="24"/>
          <w:lang w:val="en-US"/>
        </w:rPr>
        <w:t xml:space="preserve">In this presentation, we are going to look at the relationship between age of disability onset and employment outcomes. </w:t>
      </w:r>
    </w:p>
    <w:p w14:paraId="5FE88590" w14:textId="77777777" w:rsidR="001E6325" w:rsidRPr="004973F0" w:rsidRDefault="001E6325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28C0F8AE" w14:textId="41B999DE" w:rsidR="001453C0" w:rsidRPr="00010E26" w:rsidRDefault="00CB47A4" w:rsidP="00010E26">
      <w:pPr>
        <w:jc w:val="both"/>
        <w:rPr>
          <w:bCs/>
          <w:color w:val="000000" w:themeColor="text1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en-US"/>
        </w:rPr>
        <w:t xml:space="preserve">Said </w:t>
      </w:r>
      <w:r w:rsidR="001453C0" w:rsidRPr="00010E26">
        <w:rPr>
          <w:bCs/>
          <w:color w:val="000000" w:themeColor="text1"/>
          <w:sz w:val="24"/>
          <w:szCs w:val="24"/>
          <w:lang w:val="en-US"/>
        </w:rPr>
        <w:t>another way, “Does the age at which you acquired your disability have any impact on the likelihood that you will be employed”?</w:t>
      </w:r>
    </w:p>
    <w:p w14:paraId="4ADA1117" w14:textId="77777777" w:rsidR="001E6325" w:rsidRPr="004973F0" w:rsidRDefault="001E6325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6673EFBA" w14:textId="77777777" w:rsidR="004973F0" w:rsidRPr="00010E26" w:rsidRDefault="001453C0" w:rsidP="00010E26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010E26">
        <w:rPr>
          <w:bCs/>
          <w:color w:val="000000" w:themeColor="text1"/>
          <w:sz w:val="24"/>
          <w:szCs w:val="24"/>
          <w:lang w:val="en-US"/>
        </w:rPr>
        <w:t xml:space="preserve">But first, a bit of background. When it comes to employment and person with disabilities, we know three things. </w:t>
      </w:r>
    </w:p>
    <w:p w14:paraId="08C08F2F" w14:textId="77777777" w:rsidR="004973F0" w:rsidRPr="004973F0" w:rsidRDefault="004973F0" w:rsidP="004973F0">
      <w:pPr>
        <w:pStyle w:val="ListParagraph"/>
        <w:rPr>
          <w:bCs/>
          <w:color w:val="000000" w:themeColor="text1"/>
          <w:sz w:val="24"/>
          <w:szCs w:val="24"/>
          <w:lang w:val="en-US"/>
        </w:rPr>
      </w:pPr>
    </w:p>
    <w:p w14:paraId="5BD41753" w14:textId="53273988" w:rsidR="004973F0" w:rsidRPr="004973F0" w:rsidRDefault="004973F0" w:rsidP="004973F0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en-US"/>
        </w:rPr>
        <w:t xml:space="preserve">1. </w:t>
      </w:r>
      <w:r>
        <w:rPr>
          <w:bCs/>
          <w:color w:val="000000" w:themeColor="text1"/>
          <w:sz w:val="24"/>
          <w:szCs w:val="24"/>
          <w:lang w:val="en-US"/>
        </w:rPr>
        <w:tab/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 xml:space="preserve">Employment rates tend to go down with age. </w:t>
      </w:r>
    </w:p>
    <w:p w14:paraId="3B74F8E9" w14:textId="5939D19E" w:rsidR="004973F0" w:rsidRDefault="004973F0" w:rsidP="004973F0">
      <w:pPr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en-US"/>
        </w:rPr>
        <w:t xml:space="preserve">2. </w:t>
      </w:r>
      <w:r>
        <w:rPr>
          <w:bCs/>
          <w:color w:val="000000" w:themeColor="text1"/>
          <w:sz w:val="24"/>
          <w:szCs w:val="24"/>
          <w:lang w:val="en-US"/>
        </w:rPr>
        <w:tab/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 xml:space="preserve">We see the biggest drop in employment </w:t>
      </w:r>
      <w:r w:rsidR="0031509C" w:rsidRPr="004973F0">
        <w:rPr>
          <w:bCs/>
          <w:color w:val="000000" w:themeColor="text1"/>
          <w:sz w:val="24"/>
          <w:szCs w:val="24"/>
          <w:lang w:val="en-US"/>
        </w:rPr>
        <w:t xml:space="preserve">are </w:t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 xml:space="preserve">for those aged 55 to 64. </w:t>
      </w:r>
    </w:p>
    <w:p w14:paraId="438726A8" w14:textId="77777777" w:rsidR="004973F0" w:rsidRDefault="004973F0" w:rsidP="004973F0">
      <w:pPr>
        <w:ind w:left="1440" w:hanging="1080"/>
        <w:jc w:val="both"/>
        <w:rPr>
          <w:bCs/>
          <w:color w:val="000000" w:themeColor="text1"/>
          <w:sz w:val="24"/>
          <w:szCs w:val="24"/>
          <w:lang w:val="en-US"/>
        </w:rPr>
      </w:pPr>
      <w:r>
        <w:rPr>
          <w:bCs/>
          <w:color w:val="000000" w:themeColor="text1"/>
          <w:sz w:val="24"/>
          <w:szCs w:val="24"/>
          <w:lang w:val="en-US"/>
        </w:rPr>
        <w:t xml:space="preserve">3. </w:t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 xml:space="preserve">There is </w:t>
      </w:r>
      <w:r w:rsidR="00AE3D85" w:rsidRPr="004973F0">
        <w:rPr>
          <w:bCs/>
          <w:color w:val="000000" w:themeColor="text1"/>
          <w:sz w:val="24"/>
          <w:szCs w:val="24"/>
          <w:lang w:val="en-US"/>
        </w:rPr>
        <w:t xml:space="preserve">some </w:t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>evidence that those who acquired their disability later in life may</w:t>
      </w:r>
      <w:r>
        <w:rPr>
          <w:bCs/>
          <w:color w:val="000000" w:themeColor="text1"/>
          <w:sz w:val="24"/>
          <w:szCs w:val="24"/>
          <w:lang w:val="en-US"/>
        </w:rPr>
        <w:t xml:space="preserve"> </w:t>
      </w:r>
    </w:p>
    <w:p w14:paraId="0D22FA1C" w14:textId="40D1967E" w:rsidR="001453C0" w:rsidRPr="004973F0" w:rsidRDefault="001453C0" w:rsidP="004973F0">
      <w:pPr>
        <w:ind w:left="1440" w:hanging="720"/>
        <w:jc w:val="both"/>
        <w:rPr>
          <w:bCs/>
          <w:color w:val="000000" w:themeColor="text1"/>
          <w:sz w:val="24"/>
          <w:szCs w:val="24"/>
          <w:lang w:val="en-US"/>
        </w:rPr>
      </w:pPr>
      <w:r w:rsidRPr="004973F0">
        <w:rPr>
          <w:bCs/>
          <w:color w:val="000000" w:themeColor="text1"/>
          <w:sz w:val="24"/>
          <w:szCs w:val="24"/>
          <w:lang w:val="en-US"/>
        </w:rPr>
        <w:t>have an advantage when it comes to employment.</w:t>
      </w:r>
    </w:p>
    <w:p w14:paraId="501D2D0A" w14:textId="77777777" w:rsidR="001E6325" w:rsidRPr="004973F0" w:rsidRDefault="001E6325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4F2D50E" w14:textId="77777777" w:rsidR="004973F0" w:rsidRPr="00010E26" w:rsidRDefault="001453C0" w:rsidP="00010E26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010E26">
        <w:rPr>
          <w:bCs/>
          <w:color w:val="000000" w:themeColor="text1"/>
          <w:sz w:val="24"/>
          <w:szCs w:val="24"/>
          <w:lang w:val="en-US"/>
        </w:rPr>
        <w:t xml:space="preserve">So, the question is why does age of disability onset matter? </w:t>
      </w:r>
      <w:r w:rsidR="00AE3D85" w:rsidRPr="00010E26">
        <w:rPr>
          <w:bCs/>
          <w:color w:val="000000" w:themeColor="text1"/>
          <w:sz w:val="24"/>
          <w:szCs w:val="24"/>
          <w:lang w:val="en-US"/>
        </w:rPr>
        <w:t>Well, t</w:t>
      </w:r>
      <w:r w:rsidRPr="00010E26">
        <w:rPr>
          <w:bCs/>
          <w:color w:val="000000" w:themeColor="text1"/>
          <w:sz w:val="24"/>
          <w:szCs w:val="24"/>
          <w:lang w:val="en-US"/>
        </w:rPr>
        <w:t xml:space="preserve">here are two things that weigh heavily in favor of those who acquired their disability later </w:t>
      </w:r>
      <w:r w:rsidR="00AE3D85" w:rsidRPr="00010E26">
        <w:rPr>
          <w:bCs/>
          <w:color w:val="000000" w:themeColor="text1"/>
          <w:sz w:val="24"/>
          <w:szCs w:val="24"/>
          <w:lang w:val="en-US"/>
        </w:rPr>
        <w:t>as opposed to earlier i</w:t>
      </w:r>
      <w:r w:rsidR="0031509C" w:rsidRPr="00010E26">
        <w:rPr>
          <w:bCs/>
          <w:color w:val="000000" w:themeColor="text1"/>
          <w:sz w:val="24"/>
          <w:szCs w:val="24"/>
          <w:lang w:val="en-US"/>
        </w:rPr>
        <w:t>n</w:t>
      </w:r>
      <w:r w:rsidR="00AE3D85" w:rsidRPr="00010E26">
        <w:rPr>
          <w:bCs/>
          <w:color w:val="000000" w:themeColor="text1"/>
          <w:sz w:val="24"/>
          <w:szCs w:val="24"/>
          <w:lang w:val="en-US"/>
        </w:rPr>
        <w:t xml:space="preserve"> life</w:t>
      </w:r>
      <w:r w:rsidRPr="00010E26">
        <w:rPr>
          <w:bCs/>
          <w:color w:val="000000" w:themeColor="text1"/>
          <w:sz w:val="24"/>
          <w:szCs w:val="24"/>
          <w:lang w:val="en-US"/>
        </w:rPr>
        <w:t xml:space="preserve">. </w:t>
      </w:r>
    </w:p>
    <w:p w14:paraId="2F2EFD7F" w14:textId="77777777" w:rsidR="004973F0" w:rsidRPr="004973F0" w:rsidRDefault="004973F0" w:rsidP="004973F0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5616A718" w14:textId="77777777" w:rsidR="004973F0" w:rsidRDefault="001453C0" w:rsidP="004973F0">
      <w:pPr>
        <w:pStyle w:val="ListParagraph"/>
        <w:numPr>
          <w:ilvl w:val="0"/>
          <w:numId w:val="21"/>
        </w:numPr>
        <w:jc w:val="both"/>
        <w:rPr>
          <w:bCs/>
          <w:color w:val="000000" w:themeColor="text1"/>
          <w:sz w:val="24"/>
          <w:szCs w:val="24"/>
          <w:lang w:val="en-US"/>
        </w:rPr>
      </w:pPr>
      <w:r w:rsidRPr="004973F0">
        <w:rPr>
          <w:bCs/>
          <w:color w:val="000000" w:themeColor="text1"/>
          <w:sz w:val="24"/>
          <w:szCs w:val="24"/>
          <w:lang w:val="en-US"/>
        </w:rPr>
        <w:t>Th</w:t>
      </w:r>
      <w:r w:rsidR="00AE3D85" w:rsidRPr="004973F0">
        <w:rPr>
          <w:bCs/>
          <w:color w:val="000000" w:themeColor="text1"/>
          <w:sz w:val="24"/>
          <w:szCs w:val="24"/>
          <w:lang w:val="en-US"/>
        </w:rPr>
        <w:t xml:space="preserve">ey are more likely to have completed </w:t>
      </w:r>
      <w:r w:rsidRPr="004973F0">
        <w:rPr>
          <w:bCs/>
          <w:color w:val="000000" w:themeColor="text1"/>
          <w:sz w:val="24"/>
          <w:szCs w:val="24"/>
          <w:lang w:val="en-US"/>
        </w:rPr>
        <w:t xml:space="preserve">all their schooling and training. </w:t>
      </w:r>
    </w:p>
    <w:p w14:paraId="7B808C0A" w14:textId="0B9882F8" w:rsidR="001453C0" w:rsidRPr="004973F0" w:rsidRDefault="00AE3D85" w:rsidP="004973F0">
      <w:pPr>
        <w:pStyle w:val="ListParagraph"/>
        <w:numPr>
          <w:ilvl w:val="0"/>
          <w:numId w:val="21"/>
        </w:numPr>
        <w:jc w:val="both"/>
        <w:rPr>
          <w:bCs/>
          <w:color w:val="000000" w:themeColor="text1"/>
          <w:sz w:val="24"/>
          <w:szCs w:val="24"/>
          <w:lang w:val="en-US"/>
        </w:rPr>
      </w:pPr>
      <w:r w:rsidRPr="004973F0">
        <w:rPr>
          <w:bCs/>
          <w:color w:val="000000" w:themeColor="text1"/>
          <w:sz w:val="24"/>
          <w:szCs w:val="24"/>
          <w:lang w:val="en-US"/>
        </w:rPr>
        <w:t xml:space="preserve">They </w:t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 xml:space="preserve">are </w:t>
      </w:r>
      <w:r w:rsidRPr="004973F0">
        <w:rPr>
          <w:bCs/>
          <w:color w:val="000000" w:themeColor="text1"/>
          <w:sz w:val="24"/>
          <w:szCs w:val="24"/>
          <w:lang w:val="en-US"/>
        </w:rPr>
        <w:t xml:space="preserve">more </w:t>
      </w:r>
      <w:r w:rsidR="001453C0" w:rsidRPr="004973F0">
        <w:rPr>
          <w:bCs/>
          <w:color w:val="000000" w:themeColor="text1"/>
          <w:sz w:val="24"/>
          <w:szCs w:val="24"/>
          <w:lang w:val="en-US"/>
        </w:rPr>
        <w:t xml:space="preserve">likely to already be in the workforce prior to disability onset. </w:t>
      </w:r>
    </w:p>
    <w:p w14:paraId="4E500B08" w14:textId="5E02B879" w:rsidR="004973F0" w:rsidRDefault="004973F0" w:rsidP="00C671F6">
      <w:pPr>
        <w:pStyle w:val="ListParagraph"/>
        <w:pBdr>
          <w:bottom w:val="single" w:sz="4" w:space="1" w:color="auto"/>
        </w:pBdr>
        <w:ind w:left="0"/>
        <w:jc w:val="both"/>
        <w:rPr>
          <w:b/>
          <w:color w:val="C00000"/>
          <w:sz w:val="24"/>
          <w:szCs w:val="24"/>
          <w:lang w:val="en-US"/>
        </w:rPr>
      </w:pPr>
    </w:p>
    <w:p w14:paraId="7FDB8AD3" w14:textId="7BC5600C" w:rsidR="0031509C" w:rsidRPr="004973F0" w:rsidRDefault="0031509C" w:rsidP="002F7886">
      <w:pPr>
        <w:pStyle w:val="ListParagraph"/>
        <w:ind w:left="0"/>
        <w:jc w:val="both"/>
        <w:rPr>
          <w:b/>
          <w:color w:val="C00000"/>
          <w:sz w:val="24"/>
          <w:szCs w:val="24"/>
          <w:lang w:val="en-US"/>
        </w:rPr>
      </w:pPr>
      <w:r w:rsidRPr="004973F0">
        <w:rPr>
          <w:b/>
          <w:color w:val="C00000"/>
          <w:sz w:val="24"/>
          <w:szCs w:val="24"/>
          <w:lang w:val="en-US"/>
        </w:rPr>
        <w:lastRenderedPageBreak/>
        <w:t>SLIDE 3</w:t>
      </w:r>
    </w:p>
    <w:p w14:paraId="6703707B" w14:textId="67E618C7" w:rsidR="001453C0" w:rsidRPr="004973F0" w:rsidRDefault="001453C0" w:rsidP="002F7886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3C71DF71" w14:textId="42C184E8" w:rsidR="001453C0" w:rsidRPr="00CB47A4" w:rsidRDefault="00AF66D4" w:rsidP="00CB47A4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CB47A4">
        <w:rPr>
          <w:bCs/>
          <w:color w:val="000000" w:themeColor="text1"/>
          <w:sz w:val="24"/>
          <w:szCs w:val="24"/>
          <w:lang w:val="en-US"/>
        </w:rPr>
        <w:t>For this presentation,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 we will be drawing from data from the 2017 Canadian Survey on Disability or CSD (for short). </w:t>
      </w:r>
    </w:p>
    <w:p w14:paraId="15F44EE3" w14:textId="77777777" w:rsidR="001E6325" w:rsidRPr="004973F0" w:rsidRDefault="001E6325" w:rsidP="00C04DE8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57FEFE14" w14:textId="562BA467" w:rsidR="0031509C" w:rsidRPr="00CB47A4" w:rsidRDefault="0031509C" w:rsidP="00CB47A4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CB47A4">
        <w:rPr>
          <w:bCs/>
          <w:color w:val="000000" w:themeColor="text1"/>
          <w:sz w:val="24"/>
          <w:szCs w:val="24"/>
          <w:lang w:val="en-US"/>
        </w:rPr>
        <w:t xml:space="preserve">So, what 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is unique about the 2017 CSD?  </w:t>
      </w:r>
      <w:r w:rsidRPr="00CB47A4">
        <w:rPr>
          <w:bCs/>
          <w:color w:val="000000" w:themeColor="text1"/>
          <w:sz w:val="24"/>
          <w:szCs w:val="24"/>
          <w:lang w:val="en-US"/>
        </w:rPr>
        <w:t>Well, i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n addition to data on employment, </w:t>
      </w:r>
      <w:r w:rsidR="00AE3D85" w:rsidRPr="00CB47A4">
        <w:rPr>
          <w:bCs/>
          <w:color w:val="000000" w:themeColor="text1"/>
          <w:sz w:val="24"/>
          <w:szCs w:val="24"/>
          <w:lang w:val="en-US"/>
        </w:rPr>
        <w:t xml:space="preserve">brand 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new age questions </w:t>
      </w:r>
      <w:r w:rsidRPr="00CB47A4">
        <w:rPr>
          <w:bCs/>
          <w:color w:val="000000" w:themeColor="text1"/>
          <w:sz w:val="24"/>
          <w:szCs w:val="24"/>
          <w:lang w:val="en-US"/>
        </w:rPr>
        <w:t xml:space="preserve">were included for 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the very first time. </w:t>
      </w:r>
    </w:p>
    <w:p w14:paraId="3AFEF714" w14:textId="77777777" w:rsidR="001E6325" w:rsidRPr="004973F0" w:rsidRDefault="001E6325" w:rsidP="00C04DE8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2B84B444" w14:textId="2EDB613A" w:rsidR="0031509C" w:rsidRPr="00CB47A4" w:rsidRDefault="00AE3D85" w:rsidP="00CB47A4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CB47A4">
        <w:rPr>
          <w:bCs/>
          <w:color w:val="000000" w:themeColor="text1"/>
          <w:sz w:val="24"/>
          <w:szCs w:val="24"/>
          <w:lang w:val="en-US"/>
        </w:rPr>
        <w:t>R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espondents were </w:t>
      </w:r>
      <w:r w:rsidRPr="00CB47A4">
        <w:rPr>
          <w:bCs/>
          <w:color w:val="000000" w:themeColor="text1"/>
          <w:sz w:val="24"/>
          <w:szCs w:val="24"/>
          <w:lang w:val="en-US"/>
        </w:rPr>
        <w:t xml:space="preserve">now </w:t>
      </w:r>
      <w:r w:rsidR="001453C0" w:rsidRPr="00CB47A4">
        <w:rPr>
          <w:bCs/>
          <w:color w:val="000000" w:themeColor="text1"/>
          <w:sz w:val="24"/>
          <w:szCs w:val="24"/>
          <w:lang w:val="en-US"/>
        </w:rPr>
        <w:t xml:space="preserve">asked </w:t>
      </w:r>
      <w:r w:rsidR="0031509C" w:rsidRPr="00CB47A4">
        <w:rPr>
          <w:bCs/>
          <w:color w:val="000000" w:themeColor="text1"/>
          <w:sz w:val="24"/>
          <w:szCs w:val="24"/>
          <w:lang w:val="en-US"/>
        </w:rPr>
        <w:t>to self-report the age at which their disability first started to limit them</w:t>
      </w:r>
      <w:r w:rsidRPr="00CB47A4">
        <w:rPr>
          <w:bCs/>
          <w:color w:val="000000" w:themeColor="text1"/>
          <w:sz w:val="24"/>
          <w:szCs w:val="24"/>
          <w:lang w:val="en-US"/>
        </w:rPr>
        <w:t>,</w:t>
      </w:r>
      <w:r w:rsidR="0031509C" w:rsidRPr="00CB47A4">
        <w:rPr>
          <w:bCs/>
          <w:color w:val="000000" w:themeColor="text1"/>
          <w:sz w:val="24"/>
          <w:szCs w:val="24"/>
          <w:lang w:val="en-US"/>
        </w:rPr>
        <w:t xml:space="preserve"> </w:t>
      </w:r>
      <w:r w:rsidRPr="00CB47A4">
        <w:rPr>
          <w:bCs/>
          <w:color w:val="000000" w:themeColor="text1"/>
          <w:sz w:val="24"/>
          <w:szCs w:val="24"/>
          <w:lang w:val="en-US"/>
        </w:rPr>
        <w:t xml:space="preserve">and this </w:t>
      </w:r>
      <w:r w:rsidR="0031509C" w:rsidRPr="00CB47A4">
        <w:rPr>
          <w:bCs/>
          <w:color w:val="000000" w:themeColor="text1"/>
          <w:sz w:val="24"/>
          <w:szCs w:val="24"/>
          <w:lang w:val="en-US"/>
        </w:rPr>
        <w:t xml:space="preserve">question was asked for each disability type they had. </w:t>
      </w:r>
    </w:p>
    <w:p w14:paraId="228AD65C" w14:textId="77777777" w:rsidR="001E6325" w:rsidRPr="004973F0" w:rsidRDefault="001E6325" w:rsidP="00C04DE8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0644F063" w14:textId="75F0F49B" w:rsidR="00AE3D85" w:rsidRPr="00CB47A4" w:rsidRDefault="00AE3D85" w:rsidP="00CB47A4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CB47A4">
        <w:rPr>
          <w:bCs/>
          <w:color w:val="000000" w:themeColor="text1"/>
          <w:sz w:val="24"/>
          <w:szCs w:val="24"/>
          <w:lang w:val="en-US"/>
        </w:rPr>
        <w:t>Therefore, if r</w:t>
      </w:r>
      <w:r w:rsidR="0031509C" w:rsidRPr="00CB47A4">
        <w:rPr>
          <w:bCs/>
          <w:color w:val="000000" w:themeColor="text1"/>
          <w:sz w:val="24"/>
          <w:szCs w:val="24"/>
          <w:lang w:val="en-US"/>
        </w:rPr>
        <w:t xml:space="preserve">espondents had </w:t>
      </w:r>
      <w:r w:rsidRPr="00CB47A4">
        <w:rPr>
          <w:bCs/>
          <w:color w:val="000000" w:themeColor="text1"/>
          <w:sz w:val="24"/>
          <w:szCs w:val="24"/>
          <w:lang w:val="en-US"/>
        </w:rPr>
        <w:t xml:space="preserve">multiple </w:t>
      </w:r>
      <w:r w:rsidR="0031509C" w:rsidRPr="00CB47A4">
        <w:rPr>
          <w:bCs/>
          <w:color w:val="000000" w:themeColor="text1"/>
          <w:sz w:val="24"/>
          <w:szCs w:val="24"/>
          <w:lang w:val="en-US"/>
        </w:rPr>
        <w:t xml:space="preserve">disability types, it is </w:t>
      </w:r>
      <w:r w:rsidRPr="00CB47A4">
        <w:rPr>
          <w:bCs/>
          <w:color w:val="000000" w:themeColor="text1"/>
          <w:sz w:val="24"/>
          <w:szCs w:val="24"/>
          <w:lang w:val="en-US"/>
        </w:rPr>
        <w:t xml:space="preserve">entirely </w:t>
      </w:r>
      <w:r w:rsidR="0031509C" w:rsidRPr="00CB47A4">
        <w:rPr>
          <w:bCs/>
          <w:color w:val="000000" w:themeColor="text1"/>
          <w:sz w:val="24"/>
          <w:szCs w:val="24"/>
          <w:lang w:val="en-US"/>
        </w:rPr>
        <w:t xml:space="preserve">possible then that they could self-report a unique age for each type.  </w:t>
      </w:r>
    </w:p>
    <w:p w14:paraId="6AD94053" w14:textId="2AEEB3DF" w:rsidR="00AE3D85" w:rsidRDefault="00AE3D85" w:rsidP="00345467">
      <w:pPr>
        <w:pBdr>
          <w:bottom w:val="single" w:sz="4" w:space="1" w:color="auto"/>
        </w:pBdr>
        <w:jc w:val="both"/>
        <w:rPr>
          <w:b/>
          <w:color w:val="C00000"/>
          <w:sz w:val="24"/>
          <w:szCs w:val="24"/>
          <w:lang w:val="en-US"/>
        </w:rPr>
      </w:pPr>
    </w:p>
    <w:p w14:paraId="22774C61" w14:textId="77777777" w:rsidR="00345467" w:rsidRPr="004973F0" w:rsidRDefault="00345467" w:rsidP="00C04DE8">
      <w:pPr>
        <w:jc w:val="both"/>
        <w:rPr>
          <w:b/>
          <w:color w:val="C00000"/>
          <w:sz w:val="24"/>
          <w:szCs w:val="24"/>
          <w:lang w:val="en-US"/>
        </w:rPr>
      </w:pPr>
    </w:p>
    <w:p w14:paraId="205411E3" w14:textId="766A63F9" w:rsidR="0031509C" w:rsidRPr="004973F0" w:rsidRDefault="0031509C" w:rsidP="00C04DE8">
      <w:pPr>
        <w:jc w:val="both"/>
        <w:rPr>
          <w:b/>
          <w:color w:val="C00000"/>
          <w:sz w:val="24"/>
          <w:szCs w:val="24"/>
          <w:lang w:val="en-US"/>
        </w:rPr>
      </w:pPr>
      <w:r w:rsidRPr="004973F0">
        <w:rPr>
          <w:b/>
          <w:color w:val="C00000"/>
          <w:sz w:val="24"/>
          <w:szCs w:val="24"/>
          <w:lang w:val="en-US"/>
        </w:rPr>
        <w:t>SLIDE 4</w:t>
      </w:r>
    </w:p>
    <w:p w14:paraId="3F1F94B7" w14:textId="3998F903" w:rsidR="0031509C" w:rsidRPr="004973F0" w:rsidRDefault="0031509C" w:rsidP="00C04DE8">
      <w:pPr>
        <w:jc w:val="both"/>
        <w:rPr>
          <w:b/>
          <w:color w:val="C00000"/>
          <w:sz w:val="24"/>
          <w:szCs w:val="24"/>
          <w:lang w:val="en-US"/>
        </w:rPr>
      </w:pPr>
    </w:p>
    <w:p w14:paraId="4D5BF607" w14:textId="31A11F0C" w:rsidR="0031509C" w:rsidRPr="00241D1B" w:rsidRDefault="00AE3D85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In this presentation, </w:t>
      </w:r>
      <w:r w:rsidR="0031509C" w:rsidRPr="00241D1B">
        <w:rPr>
          <w:bCs/>
          <w:color w:val="000000" w:themeColor="text1"/>
          <w:sz w:val="24"/>
          <w:szCs w:val="24"/>
          <w:lang w:val="en-US"/>
        </w:rPr>
        <w:t xml:space="preserve">three different stages 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of disability onset are </w:t>
      </w:r>
      <w:r w:rsidR="0031509C" w:rsidRPr="00241D1B">
        <w:rPr>
          <w:bCs/>
          <w:color w:val="000000" w:themeColor="text1"/>
          <w:sz w:val="24"/>
          <w:szCs w:val="24"/>
          <w:lang w:val="en-US"/>
        </w:rPr>
        <w:t>examined.</w:t>
      </w:r>
    </w:p>
    <w:p w14:paraId="15FEAE80" w14:textId="77777777" w:rsidR="002F7886" w:rsidRPr="004973F0" w:rsidRDefault="002F7886" w:rsidP="00C04DE8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42BAD6F2" w14:textId="793F8C84" w:rsidR="0031509C" w:rsidRPr="00241D1B" w:rsidRDefault="0031509C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Since persons with multiple disability types can have different ages of onset for each type, the earliest occurrence of any limitation is used.  </w:t>
      </w:r>
    </w:p>
    <w:p w14:paraId="4DC4ED10" w14:textId="77777777" w:rsidR="002F7886" w:rsidRPr="004973F0" w:rsidRDefault="002F7886" w:rsidP="00C04DE8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34AD3075" w14:textId="77777777" w:rsidR="00C04DE8" w:rsidRPr="00241D1B" w:rsidRDefault="0031509C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Those whose self-reported that they were first limited prior to age 23 were classified as </w:t>
      </w:r>
      <w:r w:rsidRPr="00241D1B">
        <w:rPr>
          <w:bCs/>
          <w:color w:val="C00000"/>
          <w:sz w:val="24"/>
          <w:szCs w:val="24"/>
          <w:lang w:val="en-US"/>
        </w:rPr>
        <w:t>early onset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. </w:t>
      </w:r>
    </w:p>
    <w:p w14:paraId="7328D3C4" w14:textId="77777777" w:rsidR="00C04DE8" w:rsidRPr="00C04DE8" w:rsidRDefault="00C04DE8" w:rsidP="00C04DE8">
      <w:pPr>
        <w:pStyle w:val="ListParagraph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CFED5FF" w14:textId="77777777" w:rsidR="00C04DE8" w:rsidRPr="00241D1B" w:rsidRDefault="0031509C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If they were first limited between ages 23 to 45, they were classified as </w:t>
      </w:r>
      <w:r w:rsidRPr="00241D1B">
        <w:rPr>
          <w:bCs/>
          <w:color w:val="C00000"/>
          <w:sz w:val="24"/>
          <w:szCs w:val="24"/>
          <w:lang w:val="en-US"/>
        </w:rPr>
        <w:t xml:space="preserve">middle onset. </w:t>
      </w:r>
    </w:p>
    <w:p w14:paraId="5764A2ED" w14:textId="77777777" w:rsidR="00C04DE8" w:rsidRPr="00C04DE8" w:rsidRDefault="00C04DE8" w:rsidP="00C04DE8">
      <w:pPr>
        <w:pStyle w:val="ListParagraph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14C2691" w14:textId="6A70B02F" w:rsidR="00AE3D85" w:rsidRPr="00241D1B" w:rsidRDefault="0031509C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And finally, they were classified as </w:t>
      </w:r>
      <w:r w:rsidRPr="00241D1B">
        <w:rPr>
          <w:bCs/>
          <w:color w:val="C00000"/>
          <w:sz w:val="24"/>
          <w:szCs w:val="24"/>
          <w:lang w:val="en-US"/>
        </w:rPr>
        <w:t xml:space="preserve">late onset </w:t>
      </w:r>
      <w:r w:rsidRPr="00241D1B">
        <w:rPr>
          <w:bCs/>
          <w:color w:val="000000" w:themeColor="text1"/>
          <w:sz w:val="24"/>
          <w:szCs w:val="24"/>
          <w:lang w:val="en-US"/>
        </w:rPr>
        <w:t>if the first occurrence of a limitation didn’t happen until age 46 and over.</w:t>
      </w:r>
    </w:p>
    <w:p w14:paraId="5611F246" w14:textId="77777777" w:rsidR="00345467" w:rsidRDefault="00345467" w:rsidP="00345467">
      <w:pPr>
        <w:pBdr>
          <w:bottom w:val="single" w:sz="4" w:space="1" w:color="auto"/>
        </w:pBdr>
        <w:jc w:val="both"/>
        <w:rPr>
          <w:b/>
          <w:color w:val="C00000"/>
          <w:sz w:val="24"/>
          <w:szCs w:val="24"/>
          <w:lang w:val="en-US"/>
        </w:rPr>
      </w:pPr>
    </w:p>
    <w:p w14:paraId="49E3D542" w14:textId="77777777" w:rsidR="00345467" w:rsidRDefault="00345467" w:rsidP="002F7886">
      <w:pPr>
        <w:jc w:val="both"/>
        <w:rPr>
          <w:b/>
          <w:color w:val="C00000"/>
          <w:sz w:val="24"/>
          <w:szCs w:val="24"/>
          <w:lang w:val="en-US"/>
        </w:rPr>
      </w:pPr>
    </w:p>
    <w:p w14:paraId="36166FF0" w14:textId="09883848" w:rsidR="00DB1DD9" w:rsidRPr="004973F0" w:rsidRDefault="00DB1DD9" w:rsidP="00345467">
      <w:pPr>
        <w:rPr>
          <w:b/>
          <w:color w:val="C00000"/>
          <w:sz w:val="24"/>
          <w:szCs w:val="24"/>
          <w:lang w:val="en-US"/>
        </w:rPr>
      </w:pPr>
      <w:r w:rsidRPr="004973F0">
        <w:rPr>
          <w:b/>
          <w:color w:val="C00000"/>
          <w:sz w:val="24"/>
          <w:szCs w:val="24"/>
          <w:lang w:val="en-US"/>
        </w:rPr>
        <w:t>SLIDE 5</w:t>
      </w:r>
    </w:p>
    <w:p w14:paraId="12491EC3" w14:textId="77777777" w:rsidR="00DB1DD9" w:rsidRPr="004973F0" w:rsidRDefault="00DB1DD9" w:rsidP="002F7886">
      <w:pPr>
        <w:pStyle w:val="ListParagraph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58597037" w14:textId="68025428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Now don’t worry, this slide is actually not that confusing. </w:t>
      </w:r>
    </w:p>
    <w:p w14:paraId="7844D47A" w14:textId="77777777" w:rsidR="002F7886" w:rsidRPr="004973F0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1B2949CA" w14:textId="16C75642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What we want to highlight here is simply that current age is not the same as age of disability onset. </w:t>
      </w:r>
    </w:p>
    <w:p w14:paraId="016F6874" w14:textId="77777777" w:rsidR="002F7886" w:rsidRPr="004973F0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8FA59F9" w14:textId="0398367F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Current age is the age the person is now whereas age of disability onset is the age at which the limitation or disability actually started. </w:t>
      </w:r>
    </w:p>
    <w:p w14:paraId="6303B87E" w14:textId="77777777" w:rsidR="002F7886" w:rsidRPr="004973F0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2B8A7104" w14:textId="2A06D41A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In this presentation, we will be looking at two different current age groups: 45 to 54 vs 55 to 64.   </w:t>
      </w:r>
    </w:p>
    <w:p w14:paraId="078BA14A" w14:textId="77777777" w:rsidR="00345467" w:rsidRDefault="00345467" w:rsidP="00345467">
      <w:pPr>
        <w:pBdr>
          <w:bottom w:val="single" w:sz="4" w:space="1" w:color="auto"/>
        </w:pBdr>
        <w:jc w:val="both"/>
        <w:rPr>
          <w:b/>
          <w:color w:val="C00000"/>
          <w:sz w:val="24"/>
          <w:szCs w:val="24"/>
          <w:lang w:val="en-US"/>
        </w:rPr>
      </w:pPr>
    </w:p>
    <w:p w14:paraId="5ECD9E59" w14:textId="77777777" w:rsidR="00345467" w:rsidRDefault="00345467" w:rsidP="002F7886">
      <w:pPr>
        <w:jc w:val="both"/>
        <w:rPr>
          <w:b/>
          <w:color w:val="C00000"/>
          <w:sz w:val="24"/>
          <w:szCs w:val="24"/>
          <w:lang w:val="en-US"/>
        </w:rPr>
      </w:pPr>
    </w:p>
    <w:p w14:paraId="6F9A329B" w14:textId="0A93AFD8" w:rsidR="00DB1DD9" w:rsidRPr="004973F0" w:rsidRDefault="00DB1DD9" w:rsidP="002F7886">
      <w:pPr>
        <w:jc w:val="both"/>
        <w:rPr>
          <w:b/>
          <w:color w:val="C00000"/>
          <w:sz w:val="24"/>
          <w:szCs w:val="24"/>
          <w:lang w:val="en-US"/>
        </w:rPr>
      </w:pPr>
      <w:r w:rsidRPr="004973F0">
        <w:rPr>
          <w:b/>
          <w:color w:val="C00000"/>
          <w:sz w:val="24"/>
          <w:szCs w:val="24"/>
          <w:lang w:val="en-US"/>
        </w:rPr>
        <w:t>SLIDE 6</w:t>
      </w:r>
    </w:p>
    <w:p w14:paraId="043D10A0" w14:textId="35B36C71" w:rsidR="004973F0" w:rsidRDefault="004973F0" w:rsidP="002F7886">
      <w:pPr>
        <w:jc w:val="both"/>
        <w:rPr>
          <w:b/>
          <w:color w:val="C00000"/>
          <w:sz w:val="20"/>
          <w:szCs w:val="20"/>
          <w:lang w:val="en-US"/>
        </w:rPr>
      </w:pPr>
    </w:p>
    <w:tbl>
      <w:tblPr>
        <w:tblW w:w="727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3596"/>
        <w:gridCol w:w="1047"/>
        <w:gridCol w:w="1294"/>
        <w:gridCol w:w="884"/>
        <w:gridCol w:w="213"/>
      </w:tblGrid>
      <w:tr w:rsidR="004973F0" w:rsidRPr="004973F0" w14:paraId="75D916AF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5F872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TABLE 1:</w:t>
            </w:r>
          </w:p>
        </w:tc>
      </w:tr>
      <w:tr w:rsidR="004973F0" w:rsidRPr="004973F0" w14:paraId="02C15156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83FB9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Canadians with disabilities aged 45 to 64 years, by onset stage, age, and education, 2017</w:t>
            </w:r>
          </w:p>
        </w:tc>
      </w:tr>
      <w:tr w:rsidR="004973F0" w:rsidRPr="004973F0" w14:paraId="0020BA4D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9FB67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E69E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07D7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ABFF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FA6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9B20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450C3D3C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7CF1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FE11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Age and education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521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Stage of onset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9040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</w:tr>
      <w:tr w:rsidR="004973F0" w:rsidRPr="004973F0" w14:paraId="273AA1CA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6059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7360F659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7B0A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Early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04FC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Middle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17B1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B9CC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</w:tr>
      <w:tr w:rsidR="004973F0" w:rsidRPr="004973F0" w14:paraId="10DF6D84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D82E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37418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97B9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6EC2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09EF356E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91B6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CE59B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45 to 54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14513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3B49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7BD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F52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0B375F74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17E2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152B1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Both sexes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E36C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942E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81EA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D209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3A0E9560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5938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93FD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 school or less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3E65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30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958F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7247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EEB8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57549648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55CF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C5F74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Trade/college/CEGEP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691F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9E29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64DA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17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E3CF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5F536CE6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632D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9C835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University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2927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23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A9B3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57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0F2E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21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3800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2A43497C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A40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2465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00D2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583C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E72B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4B51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1A947CF0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6DAA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E68B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55 to 64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3C06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FA2A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F866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518C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5970F80D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9B35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2EF1F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Both sexes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C472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20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2D3F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32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BD14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48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7688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01701ECB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8E6B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8963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 school or less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850C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17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F484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36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53DF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47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6E29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101E6F0E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9F423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7CADE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Trade/college/CEGEP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E780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21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F3BB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31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1FA6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49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EFF2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4FD1B791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72C4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B5300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University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BF65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9BE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707F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47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A5B6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2450BF2A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C093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A977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270B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A582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46A7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4E1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18746FB0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CA63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227D0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color w:val="000000"/>
                <w:sz w:val="18"/>
                <w:szCs w:val="18"/>
                <w:lang w:val="en-CA"/>
              </w:rPr>
              <w:t>Source</w:t>
            </w:r>
            <w:r w:rsidRPr="004973F0">
              <w:rPr>
                <w:rFonts w:eastAsia="Times New Roman"/>
                <w:color w:val="000000"/>
                <w:sz w:val="18"/>
                <w:szCs w:val="18"/>
                <w:lang w:val="en-CA"/>
              </w:rPr>
              <w:t>: Statistics Canada, Canadian Survey on Disability, 2017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E0C23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417D8700" w14:textId="77777777" w:rsidTr="00010E26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D65A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2037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C153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5E9A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1278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Align w:val="center"/>
            <w:hideMark/>
          </w:tcPr>
          <w:p w14:paraId="2367002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19F67B01" w14:textId="1FD988EB" w:rsidR="004973F0" w:rsidRDefault="004973F0" w:rsidP="002F7886">
      <w:pPr>
        <w:jc w:val="both"/>
        <w:rPr>
          <w:b/>
          <w:color w:val="C00000"/>
          <w:sz w:val="20"/>
          <w:szCs w:val="20"/>
          <w:lang w:val="en-US"/>
        </w:rPr>
      </w:pPr>
    </w:p>
    <w:p w14:paraId="776651A5" w14:textId="77777777" w:rsidR="004973F0" w:rsidRPr="00AE3D85" w:rsidRDefault="004973F0" w:rsidP="002F7886">
      <w:pPr>
        <w:jc w:val="both"/>
        <w:rPr>
          <w:b/>
          <w:color w:val="C00000"/>
          <w:sz w:val="20"/>
          <w:szCs w:val="20"/>
          <w:lang w:val="en-US"/>
        </w:rPr>
      </w:pPr>
    </w:p>
    <w:p w14:paraId="3F6F1A25" w14:textId="6CC99A47" w:rsidR="00DB1DD9" w:rsidRPr="00AE3D85" w:rsidRDefault="00DB1DD9" w:rsidP="002F7886">
      <w:pPr>
        <w:pStyle w:val="ListParagraph"/>
        <w:ind w:left="360"/>
        <w:jc w:val="both"/>
        <w:rPr>
          <w:bCs/>
          <w:color w:val="000000" w:themeColor="text1"/>
          <w:sz w:val="20"/>
          <w:szCs w:val="20"/>
          <w:lang w:val="en-US"/>
        </w:rPr>
      </w:pPr>
    </w:p>
    <w:p w14:paraId="32B66E52" w14:textId="4C3CD061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When we look at the distribution of onset stages, we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actually </w:t>
      </w:r>
      <w:r w:rsidRPr="00241D1B">
        <w:rPr>
          <w:bCs/>
          <w:color w:val="000000" w:themeColor="text1"/>
          <w:sz w:val="24"/>
          <w:szCs w:val="24"/>
          <w:lang w:val="en-US"/>
        </w:rPr>
        <w:t>see a very clear pattern.</w:t>
      </w:r>
    </w:p>
    <w:p w14:paraId="758A720B" w14:textId="77777777" w:rsidR="002F7886" w:rsidRPr="004973F0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633BA60" w14:textId="00DB95D5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>If the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ir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current age is between 45 to 54, persons are most likely to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report </w:t>
      </w:r>
      <w:r w:rsidRPr="00241D1B">
        <w:rPr>
          <w:bCs/>
          <w:color w:val="000000" w:themeColor="text1"/>
          <w:sz w:val="24"/>
          <w:szCs w:val="24"/>
          <w:lang w:val="en-US"/>
        </w:rPr>
        <w:t>hav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ing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a middle onset disability. However, if the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ir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current age is between 55 to 64,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they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are most likely to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report </w:t>
      </w:r>
      <w:r w:rsidRPr="00241D1B">
        <w:rPr>
          <w:bCs/>
          <w:color w:val="000000" w:themeColor="text1"/>
          <w:sz w:val="24"/>
          <w:szCs w:val="24"/>
          <w:lang w:val="en-US"/>
        </w:rPr>
        <w:t>hav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ing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a late onset.  </w:t>
      </w:r>
    </w:p>
    <w:p w14:paraId="283ED96B" w14:textId="77777777" w:rsidR="002F7886" w:rsidRPr="004973F0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106BA6EB" w14:textId="2AC8D1B9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This is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actually 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quite an interesting finding since we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would 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expect that the current age should not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impact the underlying 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distribution of the onset stages.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However, this is clearly not the case.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</w:t>
      </w:r>
    </w:p>
    <w:p w14:paraId="1F64707B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0B23CA0F" w14:textId="14906DB4" w:rsidR="00AE3D85" w:rsidRPr="00241D1B" w:rsidRDefault="00AE3D85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lastRenderedPageBreak/>
        <w:t xml:space="preserve">What this tells us is that any examination of onset stages will depend heavily on the current age of the person. </w:t>
      </w:r>
    </w:p>
    <w:p w14:paraId="3F353FE7" w14:textId="77777777" w:rsidR="00AE3D85" w:rsidRPr="004973F0" w:rsidRDefault="00AE3D85" w:rsidP="00AE3D85">
      <w:pPr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7767E362" w14:textId="69B93905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A second 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>and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 equally important finding is that age of disability onset does not appear to have a substantial impact on educational attainment. </w:t>
      </w:r>
    </w:p>
    <w:p w14:paraId="724A916F" w14:textId="77777777" w:rsidR="002F7886" w:rsidRPr="004973F0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6372A1F8" w14:textId="6B3BDAEC" w:rsidR="00DB1DD9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In other words, the distribution of onset stages is about the same whether the person has high school or less or postsecondary education. </w:t>
      </w:r>
    </w:p>
    <w:p w14:paraId="7A6B5280" w14:textId="77777777" w:rsidR="00345467" w:rsidRDefault="00345467" w:rsidP="00345467">
      <w:pPr>
        <w:pBdr>
          <w:bottom w:val="single" w:sz="4" w:space="1" w:color="auto"/>
        </w:pBdr>
        <w:ind w:left="-360"/>
        <w:jc w:val="both"/>
        <w:rPr>
          <w:b/>
          <w:color w:val="C00000"/>
          <w:sz w:val="24"/>
          <w:szCs w:val="24"/>
          <w:lang w:val="en-US"/>
        </w:rPr>
      </w:pPr>
    </w:p>
    <w:p w14:paraId="438B4DCC" w14:textId="77777777" w:rsidR="00345467" w:rsidRDefault="00345467" w:rsidP="002F7886">
      <w:pPr>
        <w:ind w:left="-360"/>
        <w:jc w:val="both"/>
        <w:rPr>
          <w:b/>
          <w:color w:val="C00000"/>
          <w:sz w:val="24"/>
          <w:szCs w:val="24"/>
          <w:lang w:val="en-US"/>
        </w:rPr>
      </w:pPr>
    </w:p>
    <w:p w14:paraId="6E47F606" w14:textId="07C46A53" w:rsidR="00DB1DD9" w:rsidRPr="004973F0" w:rsidRDefault="00DB1DD9" w:rsidP="002F7886">
      <w:pPr>
        <w:ind w:left="-360"/>
        <w:jc w:val="both"/>
        <w:rPr>
          <w:b/>
          <w:color w:val="C00000"/>
          <w:sz w:val="24"/>
          <w:szCs w:val="24"/>
          <w:lang w:val="en-US"/>
        </w:rPr>
      </w:pPr>
      <w:r w:rsidRPr="004973F0">
        <w:rPr>
          <w:b/>
          <w:color w:val="C00000"/>
          <w:sz w:val="24"/>
          <w:szCs w:val="24"/>
          <w:lang w:val="en-US"/>
        </w:rPr>
        <w:t xml:space="preserve">SLIDE </w:t>
      </w:r>
      <w:r w:rsidR="00AA17CC" w:rsidRPr="004973F0">
        <w:rPr>
          <w:b/>
          <w:color w:val="C00000"/>
          <w:sz w:val="24"/>
          <w:szCs w:val="24"/>
          <w:lang w:val="en-US"/>
        </w:rPr>
        <w:t>7</w:t>
      </w:r>
    </w:p>
    <w:p w14:paraId="4B288664" w14:textId="6CB88B6F" w:rsidR="004973F0" w:rsidRDefault="004973F0" w:rsidP="002F7886">
      <w:pPr>
        <w:ind w:left="-360"/>
        <w:jc w:val="both"/>
        <w:rPr>
          <w:b/>
          <w:color w:val="C00000"/>
          <w:sz w:val="20"/>
          <w:szCs w:val="20"/>
          <w:lang w:val="en-US"/>
        </w:rPr>
      </w:pPr>
    </w:p>
    <w:tbl>
      <w:tblPr>
        <w:tblW w:w="93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376"/>
        <w:gridCol w:w="2428"/>
        <w:gridCol w:w="1467"/>
        <w:gridCol w:w="229"/>
        <w:gridCol w:w="2355"/>
        <w:gridCol w:w="229"/>
      </w:tblGrid>
      <w:tr w:rsidR="004973F0" w:rsidRPr="004973F0" w14:paraId="0C69912C" w14:textId="77777777" w:rsidTr="00010E2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68C1B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TABLE 2:</w:t>
            </w:r>
          </w:p>
        </w:tc>
      </w:tr>
      <w:tr w:rsidR="004973F0" w:rsidRPr="004973F0" w14:paraId="2DB986F4" w14:textId="77777777" w:rsidTr="00010E2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302A6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Employment rate of Canadian population with disabilities aged 45 to 64 years, by highest onset stage, age, and sex, 2017</w:t>
            </w:r>
          </w:p>
        </w:tc>
      </w:tr>
      <w:tr w:rsidR="004973F0" w:rsidRPr="004973F0" w14:paraId="689E56F2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B00A7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4E17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0B3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A2D8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140C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ED6A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CAB23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1B2D6559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A7E3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9114B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Age and sex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95A1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Employment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2EBB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9BBDF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Overall Rate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9458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</w:tr>
      <w:tr w:rsidR="004973F0" w:rsidRPr="004973F0" w14:paraId="42549652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5D33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09D57EB7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AE4C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Stage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BBB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Rate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D5CF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02151E25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228C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40607876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7A1C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62EE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251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Highest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CC2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8B8E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958D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3214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4FFC8C2B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A0E4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2713D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45 to 54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F1AE2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7354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E0B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DD9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BA3E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0E89E905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A3BF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C481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Men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6FC9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4087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68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5832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4C19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63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46D1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0A8E867B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D1A6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A434D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Women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493B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12B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63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2EAC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5140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D4A0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2AFBCF26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9C12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4A06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B87E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AABD8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F7D5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981A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08D5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6F5925D4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6BEA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C919D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55 to 64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B0D6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EDCD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A566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19FD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963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2DE323A9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D326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33A9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Men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C5E6B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F108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50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8F25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5C66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92C3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02FA2021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BDBD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DB1F3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Women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0B86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Early | Middle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E39E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35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F420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4155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2FFB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01E06CCD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F3F0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1830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C76B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315F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D484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B304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6DA4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32D408FA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5801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FCA3F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color w:val="000000"/>
                <w:sz w:val="18"/>
                <w:szCs w:val="18"/>
                <w:lang w:val="en-CA"/>
              </w:rPr>
              <w:t>Source</w:t>
            </w:r>
            <w:r w:rsidRPr="004973F0">
              <w:rPr>
                <w:rFonts w:eastAsia="Times New Roman"/>
                <w:color w:val="000000"/>
                <w:sz w:val="18"/>
                <w:szCs w:val="18"/>
                <w:lang w:val="en-CA"/>
              </w:rPr>
              <w:t>: Statistics Canada, Canadian Survey on Disability, 2017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EAF33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171A7730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9234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C41E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9EBB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5151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7CB8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7092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Align w:val="center"/>
            <w:hideMark/>
          </w:tcPr>
          <w:p w14:paraId="5CD5F4B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6E53E9BF" w14:textId="77777777" w:rsidR="004973F0" w:rsidRPr="00AE3D85" w:rsidRDefault="004973F0" w:rsidP="00C04DE8">
      <w:pPr>
        <w:jc w:val="both"/>
        <w:rPr>
          <w:b/>
          <w:color w:val="C00000"/>
          <w:sz w:val="20"/>
          <w:szCs w:val="20"/>
          <w:lang w:val="en-US"/>
        </w:rPr>
      </w:pPr>
    </w:p>
    <w:p w14:paraId="0FD46BA7" w14:textId="2790A4CA" w:rsidR="00DB1DD9" w:rsidRPr="00AE3D85" w:rsidRDefault="00DB1DD9" w:rsidP="002F7886">
      <w:pPr>
        <w:pStyle w:val="ListParagraph"/>
        <w:ind w:left="360"/>
        <w:jc w:val="both"/>
        <w:rPr>
          <w:bCs/>
          <w:color w:val="000000" w:themeColor="text1"/>
          <w:sz w:val="20"/>
          <w:szCs w:val="20"/>
          <w:lang w:val="en-US"/>
        </w:rPr>
      </w:pPr>
    </w:p>
    <w:p w14:paraId="4C6611A8" w14:textId="7B2E6323" w:rsidR="00493B5E" w:rsidRPr="00241D1B" w:rsidRDefault="00DB1DD9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We now turn our attention to employment rates by select characteristics. </w:t>
      </w:r>
    </w:p>
    <w:p w14:paraId="00382B66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5A4BBF5A" w14:textId="14F5E120" w:rsidR="00493B5E" w:rsidRPr="00241D1B" w:rsidRDefault="00493B5E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>When broken down by sex, the pattern is quite clear. In most cases, the employment rate is highest for those with late onset</w:t>
      </w:r>
      <w:r w:rsidR="00AE3D85" w:rsidRPr="00241D1B">
        <w:rPr>
          <w:bCs/>
          <w:color w:val="000000" w:themeColor="text1"/>
          <w:sz w:val="24"/>
          <w:szCs w:val="24"/>
          <w:lang w:val="en-US"/>
        </w:rPr>
        <w:t xml:space="preserve"> disability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. </w:t>
      </w:r>
    </w:p>
    <w:p w14:paraId="5694CAAC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002474CF" w14:textId="05E5A919" w:rsidR="00493B5E" w:rsidRPr="00241D1B" w:rsidRDefault="00493B5E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For example, for women age 45 to 54, the overall employment rate is 57%.  However, when broken down stage of onset, the employment rate is highest for those with late onset (63%). </w:t>
      </w:r>
    </w:p>
    <w:p w14:paraId="3D5F972F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0BFADA04" w14:textId="6FAA57F7" w:rsidR="00AE3D85" w:rsidRPr="00241D1B" w:rsidRDefault="00493B5E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lastRenderedPageBreak/>
        <w:t xml:space="preserve">Two additional findings worth noting. </w:t>
      </w:r>
      <w:r w:rsidRPr="00241D1B">
        <w:rPr>
          <w:bCs/>
          <w:color w:val="C00000"/>
          <w:sz w:val="24"/>
          <w:szCs w:val="24"/>
          <w:lang w:val="en-US"/>
        </w:rPr>
        <w:t>ONE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:  Regardless of stage of onset, the employment rate is consistently around 1.5 times higher for younger adults (45 to 54) than older adults (55 to 64). </w:t>
      </w:r>
      <w:r w:rsidRPr="00241D1B">
        <w:rPr>
          <w:bCs/>
          <w:color w:val="C00000"/>
          <w:sz w:val="24"/>
          <w:szCs w:val="24"/>
          <w:lang w:val="en-US"/>
        </w:rPr>
        <w:t>TWO</w:t>
      </w:r>
      <w:r w:rsidRPr="00241D1B">
        <w:rPr>
          <w:bCs/>
          <w:color w:val="000000" w:themeColor="text1"/>
          <w:sz w:val="24"/>
          <w:szCs w:val="24"/>
          <w:lang w:val="en-US"/>
        </w:rPr>
        <w:t xml:space="preserve">: Regardless of stage of onset, the employment rate tends to be higher for men than women </w:t>
      </w:r>
      <w:r w:rsidRPr="00241D1B">
        <w:rPr>
          <w:bCs/>
          <w:color w:val="C00000"/>
          <w:sz w:val="24"/>
          <w:szCs w:val="24"/>
          <w:lang w:val="en-US"/>
        </w:rPr>
        <w:t>in most cases</w:t>
      </w:r>
      <w:r w:rsidRPr="00241D1B">
        <w:rPr>
          <w:bCs/>
          <w:color w:val="000000" w:themeColor="text1"/>
          <w:sz w:val="24"/>
          <w:szCs w:val="24"/>
          <w:lang w:val="en-US"/>
        </w:rPr>
        <w:t>.</w:t>
      </w:r>
    </w:p>
    <w:p w14:paraId="2A25B745" w14:textId="77777777" w:rsidR="00AE3D85" w:rsidRPr="00241D1B" w:rsidRDefault="00AE3D85" w:rsidP="00345467">
      <w:pPr>
        <w:pBdr>
          <w:bottom w:val="single" w:sz="4" w:space="1" w:color="auto"/>
        </w:pBdr>
        <w:jc w:val="both"/>
        <w:rPr>
          <w:b/>
          <w:color w:val="C00000"/>
          <w:sz w:val="24"/>
          <w:szCs w:val="24"/>
          <w:lang w:val="en-US"/>
        </w:rPr>
      </w:pPr>
    </w:p>
    <w:p w14:paraId="651C337B" w14:textId="77777777" w:rsidR="00AE3D85" w:rsidRPr="00241D1B" w:rsidRDefault="00AE3D85" w:rsidP="002F7886">
      <w:pPr>
        <w:jc w:val="both"/>
        <w:rPr>
          <w:b/>
          <w:color w:val="C00000"/>
          <w:sz w:val="24"/>
          <w:szCs w:val="24"/>
          <w:lang w:val="en-US"/>
        </w:rPr>
      </w:pPr>
    </w:p>
    <w:p w14:paraId="4D74FD91" w14:textId="3AC1DC7A" w:rsidR="002F52D6" w:rsidRPr="00241D1B" w:rsidRDefault="002F52D6" w:rsidP="002F7886">
      <w:pPr>
        <w:jc w:val="both"/>
        <w:rPr>
          <w:b/>
          <w:color w:val="C00000"/>
          <w:sz w:val="24"/>
          <w:szCs w:val="24"/>
          <w:lang w:val="en-US"/>
        </w:rPr>
      </w:pPr>
      <w:r w:rsidRPr="00241D1B">
        <w:rPr>
          <w:b/>
          <w:color w:val="C00000"/>
          <w:sz w:val="24"/>
          <w:szCs w:val="24"/>
          <w:lang w:val="en-US"/>
        </w:rPr>
        <w:t xml:space="preserve">SLIDE </w:t>
      </w:r>
      <w:r w:rsidR="00AA17CC" w:rsidRPr="00241D1B">
        <w:rPr>
          <w:b/>
          <w:color w:val="C00000"/>
          <w:sz w:val="24"/>
          <w:szCs w:val="24"/>
          <w:lang w:val="en-US"/>
        </w:rPr>
        <w:t>8</w:t>
      </w:r>
    </w:p>
    <w:p w14:paraId="3A34173A" w14:textId="7B6BDCEA" w:rsidR="004973F0" w:rsidRPr="00241D1B" w:rsidRDefault="004973F0" w:rsidP="002F7886">
      <w:pPr>
        <w:jc w:val="both"/>
        <w:rPr>
          <w:b/>
          <w:color w:val="C00000"/>
          <w:sz w:val="24"/>
          <w:szCs w:val="24"/>
          <w:lang w:val="en-US"/>
        </w:rPr>
      </w:pPr>
    </w:p>
    <w:tbl>
      <w:tblPr>
        <w:tblW w:w="93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889"/>
        <w:gridCol w:w="2241"/>
        <w:gridCol w:w="1369"/>
        <w:gridCol w:w="213"/>
        <w:gridCol w:w="2175"/>
        <w:gridCol w:w="213"/>
      </w:tblGrid>
      <w:tr w:rsidR="004973F0" w:rsidRPr="004973F0" w14:paraId="5A05F8E3" w14:textId="77777777" w:rsidTr="00010E2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C89F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TABLE 3:</w:t>
            </w:r>
          </w:p>
        </w:tc>
      </w:tr>
      <w:tr w:rsidR="004973F0" w:rsidRPr="004973F0" w14:paraId="0F117D8E" w14:textId="77777777" w:rsidTr="00010E2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9F7BB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Employment rate of Canadian population with disabilities aged 45 to 64 years, by highest onset stage, age, and severity, 2017</w:t>
            </w:r>
          </w:p>
        </w:tc>
      </w:tr>
      <w:tr w:rsidR="004973F0" w:rsidRPr="004973F0" w14:paraId="628E03C9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A620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FEEF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FC26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13A7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BCFC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C1A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4863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0F83E8B0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4100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71356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Age and severity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DB8C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Employment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5E79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30C2F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Overall Rate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74FF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</w:tr>
      <w:tr w:rsidR="004973F0" w:rsidRPr="004973F0" w14:paraId="0D45827F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26A9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704148ED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78CE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Stage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56DD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Rate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35E2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704F7C24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A74F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2AB48821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BEB0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50BF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7FB9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Highest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A831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35FD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0C98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0BEC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1B6C5D25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722B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CBB2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45 to 54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5736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9304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CEE6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3AA0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DE37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4A27AB26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E132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1C0A6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Less severe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84EF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AF99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80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683E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F118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77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0555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59FD65EE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DACE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E89B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More severe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6C22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Early | Middle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2DEE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36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E3FA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BB2C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5FAA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1F8A52CE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3B1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2F2B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518E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98DB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E94F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5F91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198A8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55AA1810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7605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873C1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55 to 64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D6DC9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9741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860F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BC05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D90D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6CE2F989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A122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8258E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Less severe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B74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Early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571B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59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85F9B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8AD4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B63D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38F95CDE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BFE5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882CE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More severe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EEBB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5548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26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57E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CFE1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DCB9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21DF7FBC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C7CC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BA6C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8E00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742E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FB53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822D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DC22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37E6110A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D24A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430C0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color w:val="000000"/>
                <w:sz w:val="18"/>
                <w:szCs w:val="18"/>
                <w:lang w:val="en-CA"/>
              </w:rPr>
              <w:t>Source</w:t>
            </w:r>
            <w:r w:rsidRPr="004973F0">
              <w:rPr>
                <w:rFonts w:eastAsia="Times New Roman"/>
                <w:color w:val="000000"/>
                <w:sz w:val="18"/>
                <w:szCs w:val="18"/>
                <w:lang w:val="en-CA"/>
              </w:rPr>
              <w:t>: Statistics Canada, Canadian Survey on Disability, 2017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F08EB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62CE0763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8753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67F5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1540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1556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277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59C70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Align w:val="center"/>
            <w:hideMark/>
          </w:tcPr>
          <w:p w14:paraId="648F26B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2AC5DA92" w14:textId="035EEC6F" w:rsidR="002F52D6" w:rsidRPr="00AE3D85" w:rsidRDefault="002F52D6" w:rsidP="002F7886">
      <w:pPr>
        <w:jc w:val="both"/>
        <w:rPr>
          <w:b/>
          <w:color w:val="C00000"/>
          <w:sz w:val="20"/>
          <w:szCs w:val="20"/>
          <w:lang w:val="en-US"/>
        </w:rPr>
      </w:pPr>
    </w:p>
    <w:p w14:paraId="26377D68" w14:textId="0F97ED7B" w:rsidR="002F52D6" w:rsidRPr="00241D1B" w:rsidRDefault="002F52D6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In this next slide, we turn our attention to severity of disability. </w:t>
      </w:r>
    </w:p>
    <w:p w14:paraId="5036E612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6BC8502C" w14:textId="31BA3959" w:rsidR="002F52D6" w:rsidRPr="00241D1B" w:rsidRDefault="002F52D6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As we can see, the pattern is far less clear since the stage of onset associated with the highest employment rate varies by both severity and current age. </w:t>
      </w:r>
    </w:p>
    <w:p w14:paraId="5B40EF1B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11B0E97D" w14:textId="67A926A4" w:rsidR="002F52D6" w:rsidRPr="00241D1B" w:rsidRDefault="002F52D6" w:rsidP="00241D1B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>These preliminary findings suggest that the relationship between onset stage and severity is somewhat complex. This will require further examination</w:t>
      </w:r>
      <w:r w:rsidR="00AF66D4" w:rsidRPr="00241D1B">
        <w:rPr>
          <w:bCs/>
          <w:color w:val="000000" w:themeColor="text1"/>
          <w:sz w:val="24"/>
          <w:szCs w:val="24"/>
          <w:lang w:val="en-US"/>
        </w:rPr>
        <w:t xml:space="preserve"> and beyond the scope of this presentation</w:t>
      </w:r>
      <w:r w:rsidRPr="00241D1B">
        <w:rPr>
          <w:bCs/>
          <w:color w:val="000000" w:themeColor="text1"/>
          <w:sz w:val="24"/>
          <w:szCs w:val="24"/>
          <w:lang w:val="en-US"/>
        </w:rPr>
        <w:t>.</w:t>
      </w:r>
    </w:p>
    <w:p w14:paraId="5E64340C" w14:textId="77777777" w:rsidR="002F7886" w:rsidRPr="00241D1B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631C5340" w14:textId="239B1475" w:rsidR="002F52D6" w:rsidRPr="00241D1B" w:rsidRDefault="002F52D6" w:rsidP="002F7886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241D1B">
        <w:rPr>
          <w:bCs/>
          <w:color w:val="000000" w:themeColor="text1"/>
          <w:sz w:val="24"/>
          <w:szCs w:val="24"/>
          <w:lang w:val="en-US"/>
        </w:rPr>
        <w:t xml:space="preserve">Nonetheless, </w:t>
      </w:r>
      <w:r w:rsidRPr="00241D1B">
        <w:rPr>
          <w:bCs/>
          <w:color w:val="000000" w:themeColor="text1"/>
          <w:sz w:val="24"/>
          <w:szCs w:val="24"/>
        </w:rPr>
        <w:t>employment rates are around 2 times higher for “less severe” compared to “more severe” disabilities, regardless of onset stage</w:t>
      </w:r>
    </w:p>
    <w:p w14:paraId="3D5D2FE3" w14:textId="77777777" w:rsidR="00345467" w:rsidRPr="00241D1B" w:rsidRDefault="00345467" w:rsidP="00345467">
      <w:pPr>
        <w:pBdr>
          <w:bottom w:val="single" w:sz="4" w:space="1" w:color="auto"/>
        </w:pBdr>
        <w:jc w:val="both"/>
        <w:rPr>
          <w:b/>
          <w:color w:val="C00000"/>
          <w:sz w:val="24"/>
          <w:szCs w:val="24"/>
          <w:lang w:val="en-US"/>
        </w:rPr>
      </w:pPr>
    </w:p>
    <w:p w14:paraId="79F31A63" w14:textId="77777777" w:rsidR="00345467" w:rsidRDefault="00345467" w:rsidP="002F7886">
      <w:pPr>
        <w:jc w:val="both"/>
        <w:rPr>
          <w:b/>
          <w:color w:val="C00000"/>
          <w:sz w:val="20"/>
          <w:szCs w:val="20"/>
          <w:lang w:val="en-US"/>
        </w:rPr>
      </w:pPr>
    </w:p>
    <w:p w14:paraId="3D89FF66" w14:textId="77777777" w:rsidR="00544155" w:rsidRDefault="00544155" w:rsidP="002F7886">
      <w:pPr>
        <w:jc w:val="both"/>
        <w:rPr>
          <w:b/>
          <w:color w:val="C00000"/>
          <w:sz w:val="20"/>
          <w:szCs w:val="20"/>
          <w:lang w:val="en-US"/>
        </w:rPr>
      </w:pPr>
    </w:p>
    <w:p w14:paraId="52E655CA" w14:textId="77777777" w:rsidR="00842B1D" w:rsidRDefault="00842B1D" w:rsidP="002F7886">
      <w:pPr>
        <w:jc w:val="both"/>
        <w:rPr>
          <w:b/>
          <w:color w:val="C00000"/>
          <w:sz w:val="24"/>
          <w:szCs w:val="24"/>
          <w:lang w:val="en-US"/>
        </w:rPr>
      </w:pPr>
    </w:p>
    <w:p w14:paraId="52FE64C2" w14:textId="0F6C903E" w:rsidR="00AA17CC" w:rsidRPr="00544155" w:rsidRDefault="00AA17CC" w:rsidP="002F7886">
      <w:pPr>
        <w:jc w:val="both"/>
        <w:rPr>
          <w:b/>
          <w:color w:val="C00000"/>
          <w:sz w:val="24"/>
          <w:szCs w:val="24"/>
          <w:lang w:val="en-US"/>
        </w:rPr>
      </w:pPr>
      <w:r w:rsidRPr="00544155">
        <w:rPr>
          <w:b/>
          <w:color w:val="C00000"/>
          <w:sz w:val="24"/>
          <w:szCs w:val="24"/>
          <w:lang w:val="en-US"/>
        </w:rPr>
        <w:lastRenderedPageBreak/>
        <w:t>SLIDE 9</w:t>
      </w:r>
    </w:p>
    <w:p w14:paraId="2E5804AB" w14:textId="01B7D16B" w:rsidR="004973F0" w:rsidRDefault="004973F0" w:rsidP="002F7886">
      <w:pPr>
        <w:jc w:val="both"/>
        <w:rPr>
          <w:b/>
          <w:color w:val="C00000"/>
          <w:sz w:val="20"/>
          <w:szCs w:val="20"/>
          <w:lang w:val="en-US"/>
        </w:rPr>
      </w:pPr>
    </w:p>
    <w:tbl>
      <w:tblPr>
        <w:tblW w:w="93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479"/>
        <w:gridCol w:w="1828"/>
        <w:gridCol w:w="1319"/>
        <w:gridCol w:w="206"/>
        <w:gridCol w:w="2072"/>
        <w:gridCol w:w="206"/>
      </w:tblGrid>
      <w:tr w:rsidR="004973F0" w:rsidRPr="004973F0" w14:paraId="7606469D" w14:textId="77777777" w:rsidTr="00010E2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C3F55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TABLE 4:</w:t>
            </w:r>
          </w:p>
        </w:tc>
      </w:tr>
      <w:tr w:rsidR="004973F0" w:rsidRPr="004973F0" w14:paraId="6978DCE8" w14:textId="77777777" w:rsidTr="00010E26">
        <w:trPr>
          <w:trHeight w:val="315"/>
          <w:tblCellSpacing w:w="0" w:type="dxa"/>
        </w:trPr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FF1B7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Employment rate of Canadian population with disabilities aged 45 to 64 years, by highest onset stage, age, and education, 2017</w:t>
            </w:r>
          </w:p>
        </w:tc>
      </w:tr>
      <w:tr w:rsidR="004973F0" w:rsidRPr="004973F0" w14:paraId="3ADC7B36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FB1E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8F443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F862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A81D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5440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F3EF8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F910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712BBC49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F982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C688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Age and education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2FFD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Employment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EFF6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7FF56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Overall Rate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B4AA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</w:tr>
      <w:tr w:rsidR="004973F0" w:rsidRPr="004973F0" w14:paraId="78D6071D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331A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67F3EA18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8772F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Stage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0FF1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sz w:val="18"/>
                <w:szCs w:val="18"/>
                <w:lang w:val="en-CA"/>
              </w:rPr>
              <w:t>Rate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71E5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14:paraId="0B93317E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E725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76AF5857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BDF9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E8272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F254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Highest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61B2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C01C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D16F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Percent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7F71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5AA76212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CEEC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114C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45 to 54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79B0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3D30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3B22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1AC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B0123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0E901F4C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A3BE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823CC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 school or less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202A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CADB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63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01DCB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BAF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8040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6E2E50C0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D5F68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1E67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Trade/college/CEGEP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3E463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Early | 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D6C6D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71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56FD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111BB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67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1FF5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3F19D655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B7E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1753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University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38F0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Early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352D4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86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D88C6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4F42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76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6C53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379270C6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049A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57BA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5B18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452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2FE4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2D54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C973B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58B89CA5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D3A9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C8FF7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color w:val="980000"/>
                <w:sz w:val="18"/>
                <w:szCs w:val="18"/>
                <w:lang w:val="en-CA"/>
              </w:rPr>
              <w:t>55 to 64</w:t>
            </w: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BAE8E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color w:val="98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43D6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54F2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A226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6625E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3CDD47F0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E406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8AC4B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High school or less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9809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Late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33C2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40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693EE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5F86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7C42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1C4ABF56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DA35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13D8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Trade/college/CEGEP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2C2A8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No Diff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2739B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43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9F392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22865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42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463F1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3206979F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B1537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9CA0E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University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444C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Early</w:t>
            </w: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DB67A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62</w:t>
            </w:r>
          </w:p>
        </w:tc>
        <w:tc>
          <w:tcPr>
            <w:tcW w:w="0" w:type="auto"/>
            <w:tcBorders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E603B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E9637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sz w:val="18"/>
                <w:szCs w:val="18"/>
                <w:lang w:val="en-CA"/>
              </w:rPr>
              <w:t>50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B390" w14:textId="77777777" w:rsidR="004973F0" w:rsidRPr="004973F0" w:rsidRDefault="004973F0" w:rsidP="004973F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116F44F5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36F5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39933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91AA3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FA24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14714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0701A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98B3C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973F0" w:rsidRPr="004973F0" w14:paraId="72DD9D71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999E1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119FD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  <w:r w:rsidRPr="004973F0">
              <w:rPr>
                <w:rFonts w:eastAsia="Times New Roman"/>
                <w:b/>
                <w:bCs/>
                <w:color w:val="000000"/>
                <w:sz w:val="18"/>
                <w:szCs w:val="18"/>
                <w:lang w:val="en-CA"/>
              </w:rPr>
              <w:t>Source</w:t>
            </w:r>
            <w:r w:rsidRPr="004973F0">
              <w:rPr>
                <w:rFonts w:eastAsia="Times New Roman"/>
                <w:color w:val="000000"/>
                <w:sz w:val="18"/>
                <w:szCs w:val="18"/>
                <w:lang w:val="en-CA"/>
              </w:rPr>
              <w:t>: Statistics Canada, Canadian Survey on Disability, 2017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EE32A" w14:textId="77777777" w:rsidR="004973F0" w:rsidRPr="004973F0" w:rsidRDefault="004973F0" w:rsidP="004973F0">
            <w:pPr>
              <w:spacing w:line="240" w:lineRule="auto"/>
              <w:rPr>
                <w:rFonts w:eastAsia="Times New Roman"/>
                <w:sz w:val="18"/>
                <w:szCs w:val="18"/>
                <w:lang w:val="en-CA"/>
              </w:rPr>
            </w:pPr>
          </w:p>
        </w:tc>
      </w:tr>
      <w:tr w:rsidR="004973F0" w:rsidRPr="004973F0" w14:paraId="295B1061" w14:textId="77777777" w:rsidTr="00010E2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DFA6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D0389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D73BD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DF2BF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68876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E1978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vAlign w:val="center"/>
            <w:hideMark/>
          </w:tcPr>
          <w:p w14:paraId="7DE3DB25" w14:textId="77777777" w:rsidR="004973F0" w:rsidRPr="004973F0" w:rsidRDefault="004973F0" w:rsidP="004973F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03E99951" w14:textId="77777777" w:rsidR="004973F0" w:rsidRPr="00AE3D85" w:rsidRDefault="004973F0" w:rsidP="002F7886">
      <w:pPr>
        <w:jc w:val="both"/>
        <w:rPr>
          <w:b/>
          <w:color w:val="C00000"/>
          <w:sz w:val="20"/>
          <w:szCs w:val="20"/>
          <w:lang w:val="en-US"/>
        </w:rPr>
      </w:pPr>
    </w:p>
    <w:p w14:paraId="724A3071" w14:textId="77777777" w:rsidR="002F52D6" w:rsidRPr="00AE3D85" w:rsidRDefault="002F52D6" w:rsidP="002F7886">
      <w:pPr>
        <w:jc w:val="both"/>
        <w:rPr>
          <w:bCs/>
          <w:color w:val="000000" w:themeColor="text1"/>
          <w:sz w:val="20"/>
          <w:szCs w:val="20"/>
          <w:lang w:val="en-US"/>
        </w:rPr>
      </w:pPr>
    </w:p>
    <w:p w14:paraId="47009692" w14:textId="749ED823" w:rsidR="00B00232" w:rsidRPr="00FE7315" w:rsidRDefault="00B00232" w:rsidP="00FE7315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E7315">
        <w:rPr>
          <w:bCs/>
          <w:color w:val="000000" w:themeColor="text1"/>
          <w:sz w:val="24"/>
          <w:szCs w:val="24"/>
          <w:lang w:val="en-US"/>
        </w:rPr>
        <w:t>When it comes to education, an interesting pattern emerges.</w:t>
      </w:r>
    </w:p>
    <w:p w14:paraId="50BEC632" w14:textId="77777777" w:rsidR="002F7886" w:rsidRPr="00FE7315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US"/>
        </w:rPr>
      </w:pPr>
    </w:p>
    <w:p w14:paraId="2B734362" w14:textId="1737BF9E" w:rsidR="00B00232" w:rsidRPr="00FE7315" w:rsidRDefault="00B00232" w:rsidP="00FE7315">
      <w:pPr>
        <w:jc w:val="both"/>
        <w:rPr>
          <w:bCs/>
          <w:color w:val="000000" w:themeColor="text1"/>
          <w:sz w:val="24"/>
          <w:szCs w:val="24"/>
          <w:lang w:val="en-US"/>
        </w:rPr>
      </w:pPr>
      <w:r w:rsidRPr="00FE7315">
        <w:rPr>
          <w:bCs/>
          <w:color w:val="000000" w:themeColor="text1"/>
          <w:sz w:val="24"/>
          <w:szCs w:val="24"/>
          <w:lang w:val="en-US"/>
        </w:rPr>
        <w:t xml:space="preserve">For high school or less, </w:t>
      </w:r>
      <w:r w:rsidR="001E6325" w:rsidRPr="00FE7315">
        <w:rPr>
          <w:bCs/>
          <w:color w:val="000000" w:themeColor="text1"/>
          <w:sz w:val="24"/>
          <w:szCs w:val="24"/>
          <w:lang w:val="en-US"/>
        </w:rPr>
        <w:t xml:space="preserve">those with </w:t>
      </w:r>
      <w:r w:rsidRPr="00FE7315">
        <w:rPr>
          <w:bCs/>
          <w:color w:val="000000" w:themeColor="text1"/>
          <w:sz w:val="24"/>
          <w:szCs w:val="24"/>
          <w:lang w:val="en-US"/>
        </w:rPr>
        <w:t>late onset ha</w:t>
      </w:r>
      <w:r w:rsidR="001E6325" w:rsidRPr="00FE7315">
        <w:rPr>
          <w:bCs/>
          <w:color w:val="000000" w:themeColor="text1"/>
          <w:sz w:val="24"/>
          <w:szCs w:val="24"/>
          <w:lang w:val="en-US"/>
        </w:rPr>
        <w:t>ve</w:t>
      </w:r>
      <w:r w:rsidRPr="00FE7315">
        <w:rPr>
          <w:bCs/>
          <w:color w:val="000000" w:themeColor="text1"/>
          <w:sz w:val="24"/>
          <w:szCs w:val="24"/>
          <w:lang w:val="en-US"/>
        </w:rPr>
        <w:t xml:space="preserve"> the highest employment rate but it is early onset for university.   </w:t>
      </w:r>
    </w:p>
    <w:p w14:paraId="70DF8A5B" w14:textId="77777777" w:rsidR="002F7886" w:rsidRPr="00FE7315" w:rsidRDefault="002F7886" w:rsidP="002F7886">
      <w:pPr>
        <w:pStyle w:val="ListParagraph"/>
        <w:ind w:left="360"/>
        <w:jc w:val="both"/>
        <w:rPr>
          <w:bCs/>
          <w:color w:val="000000" w:themeColor="text1"/>
          <w:sz w:val="24"/>
          <w:szCs w:val="24"/>
          <w:lang w:val="en-CA"/>
        </w:rPr>
      </w:pPr>
    </w:p>
    <w:p w14:paraId="285B79A5" w14:textId="34FA1076" w:rsidR="00B5699B" w:rsidRPr="00544155" w:rsidRDefault="00B00232" w:rsidP="002F7886">
      <w:pPr>
        <w:jc w:val="both"/>
        <w:rPr>
          <w:bCs/>
          <w:color w:val="000000" w:themeColor="text1"/>
          <w:sz w:val="24"/>
          <w:szCs w:val="24"/>
          <w:lang w:val="en-CA"/>
        </w:rPr>
      </w:pPr>
      <w:r w:rsidRPr="00FE7315">
        <w:rPr>
          <w:bCs/>
          <w:color w:val="000000" w:themeColor="text1"/>
          <w:sz w:val="24"/>
          <w:szCs w:val="24"/>
          <w:lang w:val="en-CA"/>
        </w:rPr>
        <w:t>Employment rates around 1.5 higher for university compared to high school or less.</w:t>
      </w:r>
    </w:p>
    <w:p w14:paraId="27EFB3D7" w14:textId="77777777" w:rsidR="00544155" w:rsidRDefault="00544155" w:rsidP="00544155">
      <w:pPr>
        <w:pBdr>
          <w:bottom w:val="single" w:sz="4" w:space="1" w:color="auto"/>
        </w:pBdr>
        <w:jc w:val="both"/>
        <w:rPr>
          <w:b/>
          <w:color w:val="C00000"/>
          <w:sz w:val="24"/>
          <w:szCs w:val="24"/>
          <w:lang w:val="en-US"/>
        </w:rPr>
      </w:pPr>
    </w:p>
    <w:p w14:paraId="06603C68" w14:textId="77777777" w:rsidR="00544155" w:rsidRDefault="00544155" w:rsidP="00544155">
      <w:pPr>
        <w:jc w:val="both"/>
        <w:rPr>
          <w:b/>
          <w:color w:val="C00000"/>
          <w:sz w:val="24"/>
          <w:szCs w:val="24"/>
          <w:lang w:val="en-US"/>
        </w:rPr>
      </w:pPr>
    </w:p>
    <w:p w14:paraId="4D51887E" w14:textId="31D2FDD2" w:rsidR="00B00232" w:rsidRPr="00345467" w:rsidRDefault="00B00232" w:rsidP="00544155">
      <w:pPr>
        <w:jc w:val="both"/>
        <w:rPr>
          <w:b/>
          <w:color w:val="C00000"/>
          <w:sz w:val="24"/>
          <w:szCs w:val="24"/>
          <w:lang w:val="en-US"/>
        </w:rPr>
      </w:pPr>
      <w:r w:rsidRPr="00345467">
        <w:rPr>
          <w:b/>
          <w:color w:val="C00000"/>
          <w:sz w:val="24"/>
          <w:szCs w:val="24"/>
          <w:lang w:val="en-US"/>
        </w:rPr>
        <w:t>SLIDE 10</w:t>
      </w:r>
    </w:p>
    <w:p w14:paraId="0A523A09" w14:textId="77777777" w:rsidR="00FE7315" w:rsidRDefault="00FE7315" w:rsidP="00FE7315">
      <w:pPr>
        <w:jc w:val="both"/>
        <w:rPr>
          <w:b/>
          <w:color w:val="C00000"/>
          <w:sz w:val="24"/>
          <w:szCs w:val="24"/>
          <w:lang w:val="en-US"/>
        </w:rPr>
      </w:pPr>
    </w:p>
    <w:p w14:paraId="274CCC30" w14:textId="27FF5AFC" w:rsidR="00AF66D4" w:rsidRPr="00345467" w:rsidRDefault="00AF66D4" w:rsidP="00FE7315">
      <w:pPr>
        <w:jc w:val="both"/>
        <w:rPr>
          <w:bCs/>
          <w:color w:val="000000" w:themeColor="text1"/>
          <w:sz w:val="24"/>
          <w:szCs w:val="24"/>
          <w:lang w:val="en-CA"/>
        </w:rPr>
      </w:pPr>
      <w:r w:rsidRPr="00345467">
        <w:rPr>
          <w:bCs/>
          <w:color w:val="000000" w:themeColor="text1"/>
          <w:sz w:val="24"/>
          <w:szCs w:val="24"/>
          <w:lang w:val="en-CA"/>
        </w:rPr>
        <w:t xml:space="preserve">In this presentation, we provide an overview of some preliminary findings on the relationship between stage of disability onset and employment. </w:t>
      </w:r>
    </w:p>
    <w:p w14:paraId="2AA21AB8" w14:textId="77777777" w:rsidR="00AF66D4" w:rsidRPr="00345467" w:rsidRDefault="00AF66D4" w:rsidP="00AF66D4">
      <w:pPr>
        <w:ind w:left="360"/>
        <w:jc w:val="both"/>
        <w:rPr>
          <w:bCs/>
          <w:color w:val="000000" w:themeColor="text1"/>
          <w:sz w:val="24"/>
          <w:szCs w:val="24"/>
          <w:lang w:val="en-CA"/>
        </w:rPr>
      </w:pPr>
    </w:p>
    <w:p w14:paraId="2E71EE9F" w14:textId="457F3D88" w:rsidR="0099148C" w:rsidRPr="00FE7315" w:rsidRDefault="00AF66D4" w:rsidP="00FE7315">
      <w:pPr>
        <w:jc w:val="both"/>
        <w:rPr>
          <w:bCs/>
          <w:color w:val="000000" w:themeColor="text1"/>
          <w:sz w:val="24"/>
          <w:szCs w:val="24"/>
          <w:lang w:val="en-CA"/>
        </w:rPr>
      </w:pPr>
      <w:r w:rsidRPr="00345467">
        <w:rPr>
          <w:bCs/>
          <w:color w:val="000000" w:themeColor="text1"/>
          <w:sz w:val="24"/>
          <w:szCs w:val="24"/>
          <w:lang w:val="en-CA"/>
        </w:rPr>
        <w:t xml:space="preserve">While further research is still needed in this area, there are a number of conclusions we can make. </w:t>
      </w:r>
    </w:p>
    <w:p w14:paraId="4ABDFFF0" w14:textId="1141E51E" w:rsidR="004973F0" w:rsidRPr="004973F0" w:rsidRDefault="004973F0" w:rsidP="00FE731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6D39411E" w14:textId="77777777" w:rsidR="00345467" w:rsidRPr="00345467" w:rsidRDefault="004973F0" w:rsidP="00345467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  <w:r w:rsidRPr="00345467">
        <w:rPr>
          <w:rFonts w:eastAsia="Times New Roman"/>
          <w:color w:val="000000"/>
          <w:sz w:val="24"/>
          <w:szCs w:val="24"/>
          <w:lang w:val="en-CA"/>
        </w:rPr>
        <w:t xml:space="preserve">Younger (45 to 54) adults more likely to report </w:t>
      </w:r>
      <w:r w:rsidRPr="00345467">
        <w:rPr>
          <w:rFonts w:eastAsia="Times New Roman"/>
          <w:b/>
          <w:bCs/>
          <w:color w:val="000000"/>
          <w:sz w:val="24"/>
          <w:szCs w:val="24"/>
          <w:lang w:val="en-CA"/>
        </w:rPr>
        <w:t xml:space="preserve">middle onset; </w:t>
      </w:r>
      <w:r w:rsidRPr="00345467">
        <w:rPr>
          <w:rFonts w:eastAsia="Times New Roman"/>
          <w:color w:val="000000"/>
          <w:sz w:val="24"/>
          <w:szCs w:val="24"/>
          <w:lang w:val="en-CA"/>
        </w:rPr>
        <w:t xml:space="preserve">Older (55 to 64) adults more likely to report </w:t>
      </w:r>
      <w:r w:rsidRPr="00345467">
        <w:rPr>
          <w:rFonts w:eastAsia="Times New Roman"/>
          <w:b/>
          <w:bCs/>
          <w:color w:val="000000"/>
          <w:sz w:val="24"/>
          <w:szCs w:val="24"/>
          <w:lang w:val="en-CA"/>
        </w:rPr>
        <w:t>late onset</w:t>
      </w:r>
    </w:p>
    <w:p w14:paraId="0BA4CC52" w14:textId="77777777" w:rsidR="00345467" w:rsidRPr="00345467" w:rsidRDefault="00345467" w:rsidP="00345467">
      <w:pPr>
        <w:pStyle w:val="ListParagraph"/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</w:p>
    <w:p w14:paraId="03D0C248" w14:textId="48840446" w:rsidR="004973F0" w:rsidRPr="00345467" w:rsidRDefault="004973F0" w:rsidP="00345467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  <w:r w:rsidRPr="00345467">
        <w:rPr>
          <w:rFonts w:eastAsia="Times New Roman"/>
          <w:color w:val="000000"/>
          <w:sz w:val="24"/>
          <w:szCs w:val="24"/>
          <w:lang w:val="en-CA"/>
        </w:rPr>
        <w:t>Stage of disability onset does not appear to impact educational attainment. Once separated by age group, distribution of onset is similar for all levels of education. </w:t>
      </w:r>
    </w:p>
    <w:p w14:paraId="7ABA0783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4DBF381B" w14:textId="77777777" w:rsidR="004973F0" w:rsidRPr="00345467" w:rsidRDefault="004973F0" w:rsidP="00345467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  <w:r w:rsidRPr="00345467">
        <w:rPr>
          <w:rFonts w:eastAsia="Times New Roman"/>
          <w:color w:val="000000"/>
          <w:sz w:val="24"/>
          <w:szCs w:val="24"/>
          <w:lang w:val="en-CA"/>
        </w:rPr>
        <w:t>Employment rates consistently around 1.5 times higher for younger (45 to 54) compared to older (55 to 64) adults - regardless of stage of disability onset </w:t>
      </w:r>
    </w:p>
    <w:p w14:paraId="3BD8460A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7303CC7D" w14:textId="77777777" w:rsidR="004973F0" w:rsidRPr="00345467" w:rsidRDefault="004973F0" w:rsidP="00345467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  <w:r w:rsidRPr="00345467">
        <w:rPr>
          <w:rFonts w:eastAsia="Times New Roman"/>
          <w:color w:val="000000"/>
          <w:sz w:val="24"/>
          <w:szCs w:val="24"/>
          <w:lang w:val="en-CA"/>
        </w:rPr>
        <w:t>When examined by sex, employment rates generally highest for those with late disability onset</w:t>
      </w:r>
    </w:p>
    <w:p w14:paraId="73C8D5F6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7AC536A0" w14:textId="77777777" w:rsidR="004973F0" w:rsidRPr="00345467" w:rsidRDefault="004973F0" w:rsidP="00345467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  <w:r w:rsidRPr="00345467">
        <w:rPr>
          <w:rFonts w:eastAsia="Times New Roman"/>
          <w:color w:val="000000"/>
          <w:sz w:val="24"/>
          <w:szCs w:val="24"/>
          <w:lang w:val="en-CA"/>
        </w:rPr>
        <w:t>When examined by disability severity, pattern in highest employment rates less clear and varies by age and severity</w:t>
      </w:r>
    </w:p>
    <w:p w14:paraId="7ACD867E" w14:textId="77777777" w:rsidR="004973F0" w:rsidRPr="004973F0" w:rsidRDefault="004973F0" w:rsidP="004973F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14:paraId="39AD7F0B" w14:textId="77777777" w:rsidR="004973F0" w:rsidRPr="00345467" w:rsidRDefault="004973F0" w:rsidP="00345467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CA"/>
        </w:rPr>
      </w:pPr>
      <w:r w:rsidRPr="00345467">
        <w:rPr>
          <w:rFonts w:eastAsia="Times New Roman"/>
          <w:color w:val="000000"/>
          <w:sz w:val="24"/>
          <w:szCs w:val="24"/>
          <w:lang w:val="en-CA"/>
        </w:rPr>
        <w:t>When examined by education, pattern in highest employment rates clear for high school or less (late onset) and university (early onset)</w:t>
      </w:r>
    </w:p>
    <w:p w14:paraId="4FEF98CB" w14:textId="77777777" w:rsidR="004973F0" w:rsidRPr="004973F0" w:rsidRDefault="004973F0" w:rsidP="004973F0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4973F0">
        <w:rPr>
          <w:rFonts w:eastAsia="Times New Roman"/>
          <w:color w:val="000000"/>
          <w:sz w:val="24"/>
          <w:szCs w:val="24"/>
          <w:lang w:val="en-CA"/>
        </w:rPr>
        <w:t> </w:t>
      </w:r>
    </w:p>
    <w:p w14:paraId="35C58EBF" w14:textId="77777777" w:rsidR="004973F0" w:rsidRPr="004973F0" w:rsidRDefault="004973F0" w:rsidP="00497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3DC21CD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0F099FB9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7F414569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0610B8BF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4A8C2491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7D63BCD1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764F9E93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678368F5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375E6D13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3C8B4539" w14:textId="1D9A9DFE" w:rsidR="0099148C" w:rsidRPr="00AE3D85" w:rsidRDefault="0099148C" w:rsidP="002F7886">
      <w:pPr>
        <w:jc w:val="both"/>
        <w:rPr>
          <w:sz w:val="20"/>
          <w:szCs w:val="20"/>
        </w:rPr>
      </w:pPr>
    </w:p>
    <w:p w14:paraId="45EB74F2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74F24E90" w14:textId="77777777" w:rsidR="0099148C" w:rsidRPr="00AE3D85" w:rsidRDefault="0099148C" w:rsidP="002F7886">
      <w:pPr>
        <w:jc w:val="both"/>
        <w:rPr>
          <w:sz w:val="20"/>
          <w:szCs w:val="20"/>
        </w:rPr>
      </w:pPr>
    </w:p>
    <w:p w14:paraId="0EBCE4AC" w14:textId="77777777" w:rsidR="0099148C" w:rsidRPr="00AE3D85" w:rsidRDefault="0099148C" w:rsidP="002F7886">
      <w:pPr>
        <w:jc w:val="both"/>
        <w:rPr>
          <w:sz w:val="20"/>
          <w:szCs w:val="20"/>
        </w:rPr>
      </w:pPr>
    </w:p>
    <w:sectPr w:rsidR="0099148C" w:rsidRPr="00AE3D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5E9F" w14:textId="77777777" w:rsidR="00656A1D" w:rsidRDefault="00656A1D">
      <w:pPr>
        <w:spacing w:line="240" w:lineRule="auto"/>
      </w:pPr>
      <w:r>
        <w:separator/>
      </w:r>
    </w:p>
  </w:endnote>
  <w:endnote w:type="continuationSeparator" w:id="0">
    <w:p w14:paraId="031E7D4F" w14:textId="77777777" w:rsidR="00656A1D" w:rsidRDefault="00656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6F63" w14:textId="77777777" w:rsidR="0099148C" w:rsidRDefault="00991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74BB5" w14:textId="77777777" w:rsidR="00656A1D" w:rsidRDefault="00656A1D">
      <w:pPr>
        <w:spacing w:line="240" w:lineRule="auto"/>
      </w:pPr>
      <w:r>
        <w:separator/>
      </w:r>
    </w:p>
  </w:footnote>
  <w:footnote w:type="continuationSeparator" w:id="0">
    <w:p w14:paraId="46B1AA5E" w14:textId="77777777" w:rsidR="00656A1D" w:rsidRDefault="00656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C82C" w14:textId="77777777" w:rsidR="0099148C" w:rsidRDefault="0099148C"/>
  <w:p w14:paraId="28B738C5" w14:textId="77777777" w:rsidR="0099148C" w:rsidRDefault="009914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F31"/>
    <w:multiLevelType w:val="hybridMultilevel"/>
    <w:tmpl w:val="AAE0F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24BA2"/>
    <w:multiLevelType w:val="hybridMultilevel"/>
    <w:tmpl w:val="857EB5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F6853"/>
    <w:multiLevelType w:val="hybridMultilevel"/>
    <w:tmpl w:val="6AEC7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45C0"/>
    <w:multiLevelType w:val="hybridMultilevel"/>
    <w:tmpl w:val="D8444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4974"/>
    <w:multiLevelType w:val="multilevel"/>
    <w:tmpl w:val="53A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134EF"/>
    <w:multiLevelType w:val="multilevel"/>
    <w:tmpl w:val="E7400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072F55"/>
    <w:multiLevelType w:val="multilevel"/>
    <w:tmpl w:val="12C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B0C6F"/>
    <w:multiLevelType w:val="hybridMultilevel"/>
    <w:tmpl w:val="580AF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48E"/>
    <w:multiLevelType w:val="multilevel"/>
    <w:tmpl w:val="98E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14503"/>
    <w:multiLevelType w:val="hybridMultilevel"/>
    <w:tmpl w:val="E4808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3B1"/>
    <w:multiLevelType w:val="hybridMultilevel"/>
    <w:tmpl w:val="6100BA6C"/>
    <w:lvl w:ilvl="0" w:tplc="519C3B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3A2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ECC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A418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3EE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0CB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C90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38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42E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30E07AB"/>
    <w:multiLevelType w:val="hybridMultilevel"/>
    <w:tmpl w:val="7F30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65F3"/>
    <w:multiLevelType w:val="hybridMultilevel"/>
    <w:tmpl w:val="F23A3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6294"/>
    <w:multiLevelType w:val="hybridMultilevel"/>
    <w:tmpl w:val="9AF8C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0ABA"/>
    <w:multiLevelType w:val="multilevel"/>
    <w:tmpl w:val="87F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F692C"/>
    <w:multiLevelType w:val="hybridMultilevel"/>
    <w:tmpl w:val="5B8A5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D1B59"/>
    <w:multiLevelType w:val="multilevel"/>
    <w:tmpl w:val="CDFC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75E21"/>
    <w:multiLevelType w:val="hybridMultilevel"/>
    <w:tmpl w:val="2CB0D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3A2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ECC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A418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3EE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70CB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C90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38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842E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E8E019A"/>
    <w:multiLevelType w:val="hybridMultilevel"/>
    <w:tmpl w:val="1ADCB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4B9E"/>
    <w:multiLevelType w:val="multilevel"/>
    <w:tmpl w:val="57D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A1F83"/>
    <w:multiLevelType w:val="hybridMultilevel"/>
    <w:tmpl w:val="43A21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20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18"/>
  </w:num>
  <w:num w:numId="11">
    <w:abstractNumId w:val="7"/>
  </w:num>
  <w:num w:numId="12">
    <w:abstractNumId w:val="15"/>
  </w:num>
  <w:num w:numId="13">
    <w:abstractNumId w:val="10"/>
  </w:num>
  <w:num w:numId="14">
    <w:abstractNumId w:val="17"/>
  </w:num>
  <w:num w:numId="1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8C"/>
    <w:rsid w:val="00010E26"/>
    <w:rsid w:val="001453C0"/>
    <w:rsid w:val="001C5C01"/>
    <w:rsid w:val="001E6325"/>
    <w:rsid w:val="00241D1B"/>
    <w:rsid w:val="002F52D6"/>
    <w:rsid w:val="002F7886"/>
    <w:rsid w:val="0031509C"/>
    <w:rsid w:val="003410F6"/>
    <w:rsid w:val="00345467"/>
    <w:rsid w:val="00482EBA"/>
    <w:rsid w:val="00493B5E"/>
    <w:rsid w:val="004973F0"/>
    <w:rsid w:val="00543ED3"/>
    <w:rsid w:val="00544155"/>
    <w:rsid w:val="00596F59"/>
    <w:rsid w:val="00656A1D"/>
    <w:rsid w:val="00842B1D"/>
    <w:rsid w:val="0099148C"/>
    <w:rsid w:val="00AA17CC"/>
    <w:rsid w:val="00AE3D85"/>
    <w:rsid w:val="00AF66D4"/>
    <w:rsid w:val="00B00232"/>
    <w:rsid w:val="00B5699B"/>
    <w:rsid w:val="00C04DE8"/>
    <w:rsid w:val="00C41C95"/>
    <w:rsid w:val="00C671F6"/>
    <w:rsid w:val="00CA0043"/>
    <w:rsid w:val="00CB47A4"/>
    <w:rsid w:val="00DB1DD9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FDA5"/>
  <w15:docId w15:val="{0CE329A0-F805-F14D-BA03-709B81E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453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4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A0C95-BAFC-FD43-B475-16C7ECEE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Morris</cp:lastModifiedBy>
  <cp:revision>19</cp:revision>
  <cp:lastPrinted>2020-11-05T22:30:00Z</cp:lastPrinted>
  <dcterms:created xsi:type="dcterms:W3CDTF">2020-11-05T23:38:00Z</dcterms:created>
  <dcterms:modified xsi:type="dcterms:W3CDTF">2020-11-12T21:10:00Z</dcterms:modified>
</cp:coreProperties>
</file>