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B7F96" w14:textId="77777777" w:rsidR="00E26C58" w:rsidRPr="007678C9" w:rsidRDefault="00E26C58" w:rsidP="00E26C58">
      <w:pPr>
        <w:pStyle w:val="Title"/>
        <w:jc w:val="center"/>
        <w:rPr>
          <w:rFonts w:ascii="Corbel" w:hAnsi="Corbel" w:cs="Calibri"/>
          <w:b/>
          <w:color w:val="480048"/>
          <w:sz w:val="36"/>
          <w:szCs w:val="36"/>
        </w:rPr>
      </w:pPr>
      <w:bookmarkStart w:id="0" w:name="_GoBack"/>
      <w:bookmarkEnd w:id="0"/>
      <w:r w:rsidRPr="007678C9">
        <w:rPr>
          <w:rFonts w:ascii="Corbel" w:hAnsi="Corbel" w:cs="Calibri"/>
          <w:b/>
          <w:color w:val="480048"/>
          <w:sz w:val="36"/>
          <w:szCs w:val="36"/>
        </w:rPr>
        <w:t>Moving Forward Together:</w:t>
      </w:r>
    </w:p>
    <w:p w14:paraId="3CEA9A40" w14:textId="77777777" w:rsidR="00E26C58" w:rsidRPr="007678C9" w:rsidRDefault="00E26C58" w:rsidP="00E26C58">
      <w:pPr>
        <w:pStyle w:val="Title"/>
        <w:spacing w:after="160"/>
        <w:jc w:val="center"/>
        <w:rPr>
          <w:rFonts w:ascii="Corbel" w:hAnsi="Corbel" w:cs="Calibri"/>
          <w:b/>
          <w:color w:val="538135" w:themeColor="accent6" w:themeShade="BF"/>
          <w:sz w:val="36"/>
          <w:szCs w:val="36"/>
        </w:rPr>
      </w:pPr>
      <w:r w:rsidRPr="007678C9">
        <w:rPr>
          <w:rFonts w:ascii="Corbel" w:hAnsi="Corbel" w:cs="Calibri"/>
          <w:b/>
          <w:color w:val="538135" w:themeColor="accent6" w:themeShade="BF"/>
          <w:sz w:val="36"/>
          <w:szCs w:val="36"/>
        </w:rPr>
        <w:t xml:space="preserve">Disability and Work in Canada (DWC) Initiative </w:t>
      </w:r>
    </w:p>
    <w:p w14:paraId="52F7483F" w14:textId="77777777" w:rsidR="00E26C58" w:rsidRDefault="00E26C58" w:rsidP="00650C57">
      <w:pPr>
        <w:pStyle w:val="Title"/>
        <w:jc w:val="center"/>
        <w:rPr>
          <w:rFonts w:ascii="Times New Roman" w:hAnsi="Times New Roman" w:cs="Times New Roman"/>
          <w:b/>
          <w:sz w:val="36"/>
          <w:szCs w:val="36"/>
        </w:rPr>
      </w:pPr>
    </w:p>
    <w:p w14:paraId="4164F97B" w14:textId="7A3B60A3" w:rsidR="00650C57" w:rsidRPr="00E26C58" w:rsidRDefault="00650C57" w:rsidP="007875E0">
      <w:pPr>
        <w:pStyle w:val="Title"/>
        <w:jc w:val="center"/>
        <w:rPr>
          <w:rFonts w:ascii="Corbel" w:hAnsi="Corbel" w:cs="Times New Roman"/>
          <w:b/>
          <w:color w:val="320032"/>
          <w:sz w:val="32"/>
          <w:szCs w:val="32"/>
        </w:rPr>
      </w:pPr>
      <w:r w:rsidRPr="00E26C58">
        <w:rPr>
          <w:rFonts w:ascii="Corbel" w:hAnsi="Corbel" w:cs="Times New Roman"/>
          <w:b/>
          <w:color w:val="320032"/>
          <w:sz w:val="32"/>
          <w:szCs w:val="32"/>
        </w:rPr>
        <w:t xml:space="preserve">Summary of Provincial Disability &amp; Work Strategies in Canada </w:t>
      </w:r>
    </w:p>
    <w:p w14:paraId="450E3211" w14:textId="5AEFF5B1" w:rsidR="00650C57" w:rsidRDefault="00650C57" w:rsidP="00650C57">
      <w:pPr>
        <w:jc w:val="center"/>
      </w:pPr>
    </w:p>
    <w:p w14:paraId="3F954A38" w14:textId="5BF3280C" w:rsidR="00235850" w:rsidRDefault="00235850" w:rsidP="00E26C58">
      <w:pPr>
        <w:rPr>
          <w:rFonts w:ascii="Times New Roman" w:hAnsi="Times New Roman" w:cs="Times New Roman"/>
          <w:sz w:val="24"/>
          <w:szCs w:val="24"/>
        </w:rPr>
      </w:pPr>
      <w:r>
        <w:rPr>
          <w:rFonts w:ascii="Times New Roman" w:hAnsi="Times New Roman" w:cs="Times New Roman"/>
          <w:sz w:val="24"/>
          <w:szCs w:val="24"/>
        </w:rPr>
        <w:t>Prepared by the Disability and Work in Canada (DWC) Steering Committee in conjunction with our partner</w:t>
      </w:r>
      <w:r w:rsidR="00D57049">
        <w:rPr>
          <w:rFonts w:ascii="Times New Roman" w:hAnsi="Times New Roman" w:cs="Times New Roman"/>
          <w:sz w:val="24"/>
          <w:szCs w:val="24"/>
        </w:rPr>
        <w:t>s</w:t>
      </w:r>
      <w:r>
        <w:rPr>
          <w:rFonts w:ascii="Times New Roman" w:hAnsi="Times New Roman" w:cs="Times New Roman"/>
          <w:sz w:val="24"/>
          <w:szCs w:val="24"/>
        </w:rPr>
        <w:t xml:space="preserve"> across Canada</w:t>
      </w:r>
    </w:p>
    <w:p w14:paraId="5D4D1B9C" w14:textId="77777777" w:rsidR="00235850" w:rsidRPr="00775804" w:rsidRDefault="00235850" w:rsidP="00235850">
      <w:pPr>
        <w:rPr>
          <w:rFonts w:ascii="Times New Roman" w:hAnsi="Times New Roman" w:cs="Times New Roman"/>
          <w:szCs w:val="24"/>
        </w:rPr>
      </w:pPr>
    </w:p>
    <w:p w14:paraId="722924A2" w14:textId="77777777" w:rsidR="00235850" w:rsidRPr="00775804" w:rsidRDefault="00235850" w:rsidP="00235850">
      <w:pPr>
        <w:rPr>
          <w:rFonts w:ascii="Times New Roman" w:hAnsi="Times New Roman" w:cs="Times New Roman"/>
          <w:szCs w:val="24"/>
        </w:rPr>
      </w:pPr>
    </w:p>
    <w:p w14:paraId="2F6F4972" w14:textId="59B457F9" w:rsidR="00235850" w:rsidRPr="008C1DC9" w:rsidRDefault="00235850" w:rsidP="00235850">
      <w:pPr>
        <w:jc w:val="center"/>
        <w:rPr>
          <w:rFonts w:ascii="Times New Roman" w:hAnsi="Times New Roman" w:cs="Times New Roman"/>
          <w:b/>
          <w:sz w:val="24"/>
          <w:szCs w:val="24"/>
        </w:rPr>
      </w:pPr>
      <w:r w:rsidRPr="008C1DC9">
        <w:rPr>
          <w:rFonts w:ascii="Times New Roman" w:hAnsi="Times New Roman" w:cs="Times New Roman"/>
          <w:b/>
          <w:sz w:val="24"/>
          <w:szCs w:val="24"/>
        </w:rPr>
        <w:t>DWC Steering Committee Members (listed alphabetical</w:t>
      </w:r>
      <w:r w:rsidR="00094851">
        <w:rPr>
          <w:rFonts w:ascii="Times New Roman" w:hAnsi="Times New Roman" w:cs="Times New Roman"/>
          <w:b/>
          <w:sz w:val="24"/>
          <w:szCs w:val="24"/>
        </w:rPr>
        <w:t>ly</w:t>
      </w:r>
      <w:r w:rsidRPr="008C1DC9">
        <w:rPr>
          <w:rFonts w:ascii="Times New Roman" w:hAnsi="Times New Roman" w:cs="Times New Roman"/>
          <w:b/>
          <w:sz w:val="24"/>
          <w:szCs w:val="24"/>
        </w:rPr>
        <w:t xml:space="preserve"> by last name):</w:t>
      </w:r>
    </w:p>
    <w:p w14:paraId="5B617826" w14:textId="656CA328" w:rsidR="00506419" w:rsidRDefault="00235850" w:rsidP="009E639F">
      <w:pPr>
        <w:ind w:left="1440"/>
        <w:rPr>
          <w:rFonts w:ascii="Times New Roman" w:hAnsi="Times New Roman" w:cs="Times New Roman"/>
          <w:sz w:val="24"/>
          <w:szCs w:val="24"/>
          <w:lang w:val="en-US"/>
        </w:rPr>
      </w:pPr>
      <w:r w:rsidRPr="00FC036B">
        <w:rPr>
          <w:rFonts w:ascii="Times New Roman" w:hAnsi="Times New Roman" w:cs="Times New Roman"/>
          <w:b/>
          <w:sz w:val="24"/>
          <w:szCs w:val="24"/>
          <w:lang w:val="en-US"/>
        </w:rPr>
        <w:t>Alec Farquhar</w:t>
      </w:r>
      <w:r w:rsidRPr="00130F23">
        <w:rPr>
          <w:rFonts w:ascii="Times New Roman" w:hAnsi="Times New Roman" w:cs="Times New Roman"/>
          <w:sz w:val="24"/>
          <w:szCs w:val="24"/>
          <w:lang w:val="en-US"/>
        </w:rPr>
        <w:t xml:space="preserve">, </w:t>
      </w:r>
      <w:r w:rsidR="009E639F">
        <w:rPr>
          <w:rFonts w:ascii="Times New Roman" w:hAnsi="Times New Roman" w:cs="Times New Roman"/>
          <w:sz w:val="24"/>
          <w:szCs w:val="24"/>
          <w:lang w:val="en-US"/>
        </w:rPr>
        <w:t>Centre for Research on Work Disability Policy</w:t>
      </w:r>
    </w:p>
    <w:p w14:paraId="454B2C8F" w14:textId="7F54980F" w:rsidR="00506419" w:rsidRDefault="00235850" w:rsidP="009E639F">
      <w:pPr>
        <w:ind w:left="1440"/>
        <w:rPr>
          <w:rFonts w:ascii="Times New Roman" w:hAnsi="Times New Roman" w:cs="Times New Roman"/>
          <w:sz w:val="24"/>
          <w:szCs w:val="24"/>
          <w:lang w:val="en-US"/>
        </w:rPr>
      </w:pPr>
      <w:r w:rsidRPr="00FC036B">
        <w:rPr>
          <w:rFonts w:ascii="Times New Roman" w:hAnsi="Times New Roman" w:cs="Times New Roman"/>
          <w:b/>
          <w:sz w:val="24"/>
          <w:szCs w:val="24"/>
          <w:lang w:val="en-US"/>
        </w:rPr>
        <w:t>Maureen Haan</w:t>
      </w:r>
      <w:r w:rsidRPr="00130F23">
        <w:rPr>
          <w:rFonts w:ascii="Times New Roman" w:hAnsi="Times New Roman" w:cs="Times New Roman"/>
          <w:sz w:val="24"/>
          <w:szCs w:val="24"/>
          <w:lang w:val="en-US"/>
        </w:rPr>
        <w:t xml:space="preserve">, </w:t>
      </w:r>
      <w:r w:rsidR="009E639F">
        <w:rPr>
          <w:rFonts w:ascii="Times New Roman" w:hAnsi="Times New Roman" w:cs="Times New Roman"/>
          <w:sz w:val="24"/>
          <w:szCs w:val="24"/>
          <w:lang w:val="en-US"/>
        </w:rPr>
        <w:t>Canadian Council on Rehabilitation and Work</w:t>
      </w:r>
    </w:p>
    <w:p w14:paraId="6FF95339" w14:textId="77777777" w:rsidR="00506419" w:rsidRDefault="00235850" w:rsidP="009E639F">
      <w:pPr>
        <w:ind w:left="1440"/>
        <w:rPr>
          <w:rFonts w:ascii="Times New Roman" w:hAnsi="Times New Roman" w:cs="Times New Roman"/>
          <w:sz w:val="24"/>
          <w:szCs w:val="24"/>
          <w:lang w:val="en-US"/>
        </w:rPr>
      </w:pPr>
      <w:r w:rsidRPr="00FC036B">
        <w:rPr>
          <w:rFonts w:ascii="Times New Roman" w:hAnsi="Times New Roman" w:cs="Times New Roman"/>
          <w:b/>
          <w:sz w:val="24"/>
          <w:szCs w:val="24"/>
          <w:lang w:val="en-US"/>
        </w:rPr>
        <w:t>Kathy Hawkins</w:t>
      </w:r>
      <w:r w:rsidRPr="00130F23">
        <w:rPr>
          <w:rFonts w:ascii="Times New Roman" w:hAnsi="Times New Roman" w:cs="Times New Roman"/>
          <w:sz w:val="24"/>
          <w:szCs w:val="24"/>
          <w:lang w:val="en-US"/>
        </w:rPr>
        <w:t xml:space="preserve">, </w:t>
      </w:r>
      <w:r w:rsidR="009E639F">
        <w:rPr>
          <w:rFonts w:ascii="Times New Roman" w:hAnsi="Times New Roman" w:cs="Times New Roman"/>
          <w:sz w:val="24"/>
          <w:szCs w:val="24"/>
          <w:lang w:val="en-US"/>
        </w:rPr>
        <w:t>Inclusion NL</w:t>
      </w:r>
      <w:r w:rsidR="00224966">
        <w:rPr>
          <w:rFonts w:ascii="Times New Roman" w:hAnsi="Times New Roman" w:cs="Times New Roman"/>
          <w:sz w:val="24"/>
          <w:szCs w:val="24"/>
          <w:lang w:val="en-US"/>
        </w:rPr>
        <w:t>: Employer Support Services</w:t>
      </w:r>
    </w:p>
    <w:p w14:paraId="4AFA936A" w14:textId="58E03CC1" w:rsidR="00506419" w:rsidRDefault="00235850" w:rsidP="009E639F">
      <w:pPr>
        <w:ind w:left="1440"/>
        <w:rPr>
          <w:rFonts w:ascii="Times New Roman" w:hAnsi="Times New Roman" w:cs="Times New Roman"/>
          <w:sz w:val="24"/>
          <w:szCs w:val="24"/>
          <w:lang w:val="en-US"/>
        </w:rPr>
      </w:pPr>
      <w:r w:rsidRPr="00FC036B">
        <w:rPr>
          <w:rFonts w:ascii="Times New Roman" w:hAnsi="Times New Roman" w:cs="Times New Roman"/>
          <w:b/>
          <w:sz w:val="24"/>
          <w:szCs w:val="24"/>
          <w:lang w:val="en-US"/>
        </w:rPr>
        <w:t>Steve Mantis</w:t>
      </w:r>
      <w:r>
        <w:rPr>
          <w:rFonts w:ascii="Times New Roman" w:hAnsi="Times New Roman" w:cs="Times New Roman"/>
          <w:sz w:val="24"/>
          <w:szCs w:val="24"/>
          <w:lang w:val="en-US"/>
        </w:rPr>
        <w:t>,</w:t>
      </w:r>
      <w:r w:rsidRPr="00E16319">
        <w:rPr>
          <w:rFonts w:ascii="Times New Roman" w:hAnsi="Times New Roman" w:cs="Times New Roman"/>
          <w:sz w:val="24"/>
          <w:szCs w:val="24"/>
          <w:lang w:val="en-US"/>
        </w:rPr>
        <w:t xml:space="preserve"> </w:t>
      </w:r>
      <w:r w:rsidR="009E639F">
        <w:rPr>
          <w:rFonts w:ascii="Times New Roman" w:hAnsi="Times New Roman" w:cs="Times New Roman"/>
          <w:sz w:val="24"/>
          <w:szCs w:val="24"/>
          <w:lang w:val="en-US"/>
        </w:rPr>
        <w:t>Ontario Network of Injured Workers Group</w:t>
      </w:r>
      <w:r w:rsidR="00FC036B">
        <w:rPr>
          <w:rFonts w:ascii="Times New Roman" w:hAnsi="Times New Roman" w:cs="Times New Roman"/>
          <w:sz w:val="24"/>
          <w:szCs w:val="24"/>
          <w:lang w:val="en-US"/>
        </w:rPr>
        <w:t>s</w:t>
      </w:r>
    </w:p>
    <w:p w14:paraId="09F61DF5" w14:textId="77777777" w:rsidR="00506419" w:rsidRDefault="00235850" w:rsidP="009E639F">
      <w:pPr>
        <w:ind w:left="1440"/>
        <w:rPr>
          <w:rFonts w:ascii="Times New Roman" w:hAnsi="Times New Roman" w:cs="Times New Roman"/>
          <w:sz w:val="24"/>
          <w:szCs w:val="24"/>
          <w:lang w:val="en-US"/>
        </w:rPr>
      </w:pPr>
      <w:r w:rsidRPr="00FC036B">
        <w:rPr>
          <w:rFonts w:ascii="Times New Roman" w:hAnsi="Times New Roman" w:cs="Times New Roman"/>
          <w:b/>
          <w:sz w:val="24"/>
          <w:szCs w:val="24"/>
          <w:lang w:val="en-US"/>
        </w:rPr>
        <w:t>Kathy Padkapayeva</w:t>
      </w:r>
      <w:r w:rsidRPr="00130F23">
        <w:rPr>
          <w:rFonts w:ascii="Times New Roman" w:hAnsi="Times New Roman" w:cs="Times New Roman"/>
          <w:sz w:val="24"/>
          <w:szCs w:val="24"/>
          <w:lang w:val="en-US"/>
        </w:rPr>
        <w:t xml:space="preserve">, </w:t>
      </w:r>
      <w:r w:rsidR="009E639F">
        <w:rPr>
          <w:rFonts w:ascii="Times New Roman" w:hAnsi="Times New Roman" w:cs="Times New Roman"/>
          <w:sz w:val="24"/>
          <w:szCs w:val="24"/>
          <w:lang w:val="en-US"/>
        </w:rPr>
        <w:t>Centre for Research on Work Disability Policy</w:t>
      </w:r>
    </w:p>
    <w:p w14:paraId="41E7E851" w14:textId="77777777" w:rsidR="00506419" w:rsidRDefault="00235850" w:rsidP="009E639F">
      <w:pPr>
        <w:ind w:left="1440"/>
        <w:rPr>
          <w:rFonts w:ascii="Times New Roman" w:hAnsi="Times New Roman" w:cs="Times New Roman"/>
          <w:sz w:val="24"/>
          <w:szCs w:val="24"/>
          <w:lang w:val="en-US"/>
        </w:rPr>
      </w:pPr>
      <w:r w:rsidRPr="00FC036B">
        <w:rPr>
          <w:rFonts w:ascii="Times New Roman" w:hAnsi="Times New Roman" w:cs="Times New Roman"/>
          <w:b/>
          <w:sz w:val="24"/>
          <w:szCs w:val="24"/>
          <w:lang w:val="en-US"/>
        </w:rPr>
        <w:t>Ron Saunders</w:t>
      </w:r>
      <w:r w:rsidRPr="00130F23">
        <w:rPr>
          <w:rFonts w:ascii="Times New Roman" w:hAnsi="Times New Roman" w:cs="Times New Roman"/>
          <w:sz w:val="24"/>
          <w:szCs w:val="24"/>
          <w:lang w:val="en-US"/>
        </w:rPr>
        <w:t xml:space="preserve">, </w:t>
      </w:r>
      <w:r w:rsidR="009E639F">
        <w:rPr>
          <w:rFonts w:ascii="Times New Roman" w:hAnsi="Times New Roman" w:cs="Times New Roman"/>
          <w:sz w:val="24"/>
          <w:szCs w:val="24"/>
          <w:lang w:val="en-US"/>
        </w:rPr>
        <w:t>Institute for Work &amp; Health</w:t>
      </w:r>
    </w:p>
    <w:p w14:paraId="78C83A9F" w14:textId="77777777" w:rsidR="00506419" w:rsidRDefault="00235850" w:rsidP="009E639F">
      <w:pPr>
        <w:ind w:left="1440"/>
        <w:rPr>
          <w:rFonts w:ascii="Times New Roman" w:hAnsi="Times New Roman" w:cs="Times New Roman"/>
          <w:sz w:val="24"/>
          <w:szCs w:val="24"/>
          <w:lang w:val="en-US"/>
        </w:rPr>
      </w:pPr>
      <w:r w:rsidRPr="00FC036B">
        <w:rPr>
          <w:rFonts w:ascii="Times New Roman" w:hAnsi="Times New Roman" w:cs="Times New Roman"/>
          <w:b/>
          <w:sz w:val="24"/>
          <w:szCs w:val="24"/>
          <w:lang w:val="en-US"/>
        </w:rPr>
        <w:t>Emile Tompa</w:t>
      </w:r>
      <w:r w:rsidRPr="00130F23">
        <w:rPr>
          <w:rFonts w:ascii="Times New Roman" w:hAnsi="Times New Roman" w:cs="Times New Roman"/>
          <w:sz w:val="24"/>
          <w:szCs w:val="24"/>
          <w:lang w:val="en-US"/>
        </w:rPr>
        <w:t>,</w:t>
      </w:r>
      <w:r w:rsidRPr="00E16319">
        <w:rPr>
          <w:rFonts w:ascii="Times New Roman" w:hAnsi="Times New Roman" w:cs="Times New Roman"/>
          <w:sz w:val="24"/>
          <w:szCs w:val="24"/>
          <w:lang w:val="en-US"/>
        </w:rPr>
        <w:t xml:space="preserve"> </w:t>
      </w:r>
      <w:r w:rsidR="009E639F">
        <w:rPr>
          <w:rFonts w:ascii="Times New Roman" w:hAnsi="Times New Roman" w:cs="Times New Roman"/>
          <w:sz w:val="24"/>
          <w:szCs w:val="24"/>
          <w:lang w:val="en-US"/>
        </w:rPr>
        <w:t>Centre for Research on Work Disability Policy</w:t>
      </w:r>
    </w:p>
    <w:p w14:paraId="347DE5BE" w14:textId="6B5A67B1" w:rsidR="00235850" w:rsidRDefault="00235850" w:rsidP="009E639F">
      <w:pPr>
        <w:ind w:left="1440"/>
        <w:rPr>
          <w:rFonts w:ascii="Times New Roman" w:hAnsi="Times New Roman" w:cs="Times New Roman"/>
          <w:sz w:val="24"/>
          <w:szCs w:val="24"/>
        </w:rPr>
      </w:pPr>
      <w:r w:rsidRPr="00FC036B">
        <w:rPr>
          <w:rFonts w:ascii="Times New Roman" w:hAnsi="Times New Roman" w:cs="Times New Roman"/>
          <w:b/>
          <w:sz w:val="24"/>
          <w:szCs w:val="24"/>
          <w:lang w:val="en-US"/>
        </w:rPr>
        <w:t>Monica Winkler</w:t>
      </w:r>
      <w:r w:rsidR="009E639F">
        <w:rPr>
          <w:rFonts w:ascii="Times New Roman" w:hAnsi="Times New Roman" w:cs="Times New Roman"/>
          <w:sz w:val="24"/>
          <w:szCs w:val="24"/>
          <w:lang w:val="en-US"/>
        </w:rPr>
        <w:t>, Canadian Council on Rehabilitation and Work</w:t>
      </w:r>
    </w:p>
    <w:p w14:paraId="5CE366CA" w14:textId="77777777" w:rsidR="00235850" w:rsidRPr="00775804" w:rsidRDefault="00235850" w:rsidP="00235850">
      <w:pPr>
        <w:rPr>
          <w:rFonts w:ascii="Times New Roman" w:hAnsi="Times New Roman" w:cs="Times New Roman"/>
          <w:szCs w:val="24"/>
        </w:rPr>
      </w:pPr>
    </w:p>
    <w:p w14:paraId="25B74D70" w14:textId="77777777" w:rsidR="001B13D1" w:rsidRPr="00775804" w:rsidRDefault="001B13D1" w:rsidP="00235850">
      <w:pPr>
        <w:rPr>
          <w:rFonts w:ascii="Times New Roman" w:hAnsi="Times New Roman" w:cs="Times New Roman"/>
          <w:szCs w:val="24"/>
        </w:rPr>
      </w:pPr>
    </w:p>
    <w:p w14:paraId="04229370" w14:textId="77777777" w:rsidR="001B13D1" w:rsidRPr="001B13D1" w:rsidRDefault="005B22E1" w:rsidP="005B22E1">
      <w:pPr>
        <w:jc w:val="center"/>
        <w:rPr>
          <w:rFonts w:ascii="Times New Roman" w:hAnsi="Times New Roman" w:cs="Times New Roman"/>
          <w:b/>
          <w:i/>
          <w:sz w:val="28"/>
          <w:szCs w:val="24"/>
        </w:rPr>
      </w:pPr>
      <w:r w:rsidRPr="001B13D1">
        <w:rPr>
          <w:rFonts w:ascii="Times New Roman" w:hAnsi="Times New Roman" w:cs="Times New Roman"/>
          <w:b/>
          <w:i/>
          <w:sz w:val="28"/>
          <w:szCs w:val="24"/>
        </w:rPr>
        <w:t xml:space="preserve">For questions, comments </w:t>
      </w:r>
      <w:r w:rsidR="00C40019" w:rsidRPr="001B13D1">
        <w:rPr>
          <w:rFonts w:ascii="Times New Roman" w:hAnsi="Times New Roman" w:cs="Times New Roman"/>
          <w:b/>
          <w:i/>
          <w:sz w:val="28"/>
          <w:szCs w:val="24"/>
        </w:rPr>
        <w:t>and</w:t>
      </w:r>
      <w:r w:rsidRPr="001B13D1">
        <w:rPr>
          <w:rFonts w:ascii="Times New Roman" w:hAnsi="Times New Roman" w:cs="Times New Roman"/>
          <w:b/>
          <w:i/>
          <w:sz w:val="28"/>
          <w:szCs w:val="24"/>
        </w:rPr>
        <w:t xml:space="preserve"> </w:t>
      </w:r>
      <w:r w:rsidR="00C40019" w:rsidRPr="001B13D1">
        <w:rPr>
          <w:rFonts w:ascii="Times New Roman" w:hAnsi="Times New Roman" w:cs="Times New Roman"/>
          <w:b/>
          <w:i/>
          <w:sz w:val="28"/>
          <w:szCs w:val="24"/>
        </w:rPr>
        <w:t>feedback</w:t>
      </w:r>
      <w:r w:rsidRPr="001B13D1">
        <w:rPr>
          <w:rFonts w:ascii="Times New Roman" w:hAnsi="Times New Roman" w:cs="Times New Roman"/>
          <w:b/>
          <w:i/>
          <w:sz w:val="28"/>
          <w:szCs w:val="24"/>
        </w:rPr>
        <w:t xml:space="preserve"> please email: </w:t>
      </w:r>
    </w:p>
    <w:p w14:paraId="48D7A8AE" w14:textId="77777777" w:rsidR="001B13D1" w:rsidRPr="001B13D1" w:rsidRDefault="001B13D1" w:rsidP="005B22E1">
      <w:pPr>
        <w:jc w:val="center"/>
        <w:rPr>
          <w:rFonts w:ascii="Times New Roman" w:hAnsi="Times New Roman" w:cs="Times New Roman"/>
          <w:sz w:val="28"/>
          <w:szCs w:val="24"/>
        </w:rPr>
      </w:pPr>
    </w:p>
    <w:p w14:paraId="167A75F5" w14:textId="401D3843" w:rsidR="00483C17" w:rsidRPr="001B13D1" w:rsidRDefault="00C40019" w:rsidP="005B22E1">
      <w:pPr>
        <w:jc w:val="center"/>
        <w:rPr>
          <w:rFonts w:ascii="Times New Roman" w:hAnsi="Times New Roman" w:cs="Times New Roman"/>
          <w:sz w:val="28"/>
          <w:szCs w:val="24"/>
        </w:rPr>
      </w:pPr>
      <w:r w:rsidRPr="001B13D1">
        <w:rPr>
          <w:rFonts w:ascii="Times New Roman" w:hAnsi="Times New Roman" w:cs="Times New Roman"/>
          <w:sz w:val="28"/>
          <w:szCs w:val="24"/>
        </w:rPr>
        <w:t>Feedback</w:t>
      </w:r>
      <w:r w:rsidR="005B22E1" w:rsidRPr="001B13D1">
        <w:rPr>
          <w:rFonts w:ascii="Times New Roman" w:hAnsi="Times New Roman" w:cs="Times New Roman"/>
          <w:sz w:val="28"/>
          <w:szCs w:val="24"/>
        </w:rPr>
        <w:t>@DWCstrategy.ca</w:t>
      </w:r>
    </w:p>
    <w:p w14:paraId="730BECFA" w14:textId="77777777" w:rsidR="00483C17" w:rsidRPr="00775804" w:rsidRDefault="00483C17" w:rsidP="00235850">
      <w:pPr>
        <w:rPr>
          <w:rFonts w:ascii="Times New Roman" w:hAnsi="Times New Roman" w:cs="Times New Roman"/>
          <w:szCs w:val="24"/>
        </w:rPr>
      </w:pPr>
    </w:p>
    <w:p w14:paraId="2B8F1CC5" w14:textId="77777777" w:rsidR="00483C17" w:rsidRPr="00775804" w:rsidRDefault="00483C17" w:rsidP="00235850">
      <w:pPr>
        <w:rPr>
          <w:rFonts w:ascii="Times New Roman" w:hAnsi="Times New Roman" w:cs="Times New Roman"/>
          <w:szCs w:val="24"/>
        </w:rPr>
      </w:pPr>
    </w:p>
    <w:p w14:paraId="1C0B68AD" w14:textId="70816089" w:rsidR="002E33F1" w:rsidRPr="002E33F1" w:rsidRDefault="002E33F1" w:rsidP="00EE3E4A">
      <w:pPr>
        <w:rPr>
          <w:rFonts w:ascii="Times New Roman" w:eastAsia="Times New Roman" w:hAnsi="Times New Roman" w:cs="Times New Roman"/>
          <w:sz w:val="24"/>
          <w:szCs w:val="24"/>
        </w:rPr>
      </w:pPr>
    </w:p>
    <w:p w14:paraId="65D6CBDC" w14:textId="77777777" w:rsidR="001E0446" w:rsidRDefault="001E0446" w:rsidP="001E0446">
      <w:pPr>
        <w:pStyle w:val="Title"/>
        <w:rPr>
          <w:rFonts w:ascii="Times New Roman" w:hAnsi="Times New Roman" w:cs="Times New Roman"/>
          <w:bCs/>
          <w:i/>
          <w:iCs/>
          <w:sz w:val="28"/>
          <w:szCs w:val="28"/>
        </w:rPr>
      </w:pPr>
    </w:p>
    <w:p w14:paraId="3D4F9726" w14:textId="6ECE473C" w:rsidR="001952A4" w:rsidRPr="008B547F" w:rsidRDefault="001E0446" w:rsidP="008B547F">
      <w:pPr>
        <w:pStyle w:val="Title"/>
        <w:rPr>
          <w:rFonts w:ascii="Times New Roman" w:hAnsi="Times New Roman" w:cs="Times New Roman"/>
          <w:bCs/>
          <w:i/>
          <w:iCs/>
          <w:sz w:val="28"/>
          <w:szCs w:val="28"/>
        </w:rPr>
        <w:sectPr w:rsidR="001952A4" w:rsidRPr="008B547F" w:rsidSect="000836F4">
          <w:headerReference w:type="default" r:id="rId8"/>
          <w:footerReference w:type="default" r:id="rId9"/>
          <w:headerReference w:type="first" r:id="rId10"/>
          <w:pgSz w:w="12240" w:h="15840"/>
          <w:pgMar w:top="1440" w:right="1440" w:bottom="1440" w:left="1440" w:header="709" w:footer="709" w:gutter="0"/>
          <w:cols w:space="708"/>
          <w:titlePg/>
          <w:docGrid w:linePitch="360"/>
        </w:sectPr>
      </w:pPr>
      <w:r w:rsidRPr="001E0446">
        <w:rPr>
          <w:rFonts w:ascii="Times New Roman" w:hAnsi="Times New Roman" w:cs="Times New Roman"/>
          <w:bCs/>
          <w:i/>
          <w:iCs/>
          <w:sz w:val="28"/>
          <w:szCs w:val="28"/>
        </w:rPr>
        <w:t>This summary was prepared to accompany the Canadian Strategy for Disability and Work</w:t>
      </w:r>
      <w:r w:rsidR="00702BC8">
        <w:rPr>
          <w:rFonts w:ascii="Times New Roman" w:hAnsi="Times New Roman" w:cs="Times New Roman"/>
          <w:bCs/>
          <w:i/>
          <w:iCs/>
          <w:sz w:val="28"/>
          <w:szCs w:val="28"/>
        </w:rPr>
        <w:t xml:space="preserve"> in 2018 and was updated in September 2019</w:t>
      </w:r>
      <w:r w:rsidR="008B547F">
        <w:rPr>
          <w:rFonts w:ascii="Times New Roman" w:hAnsi="Times New Roman" w:cs="Times New Roman"/>
          <w:bCs/>
          <w:i/>
          <w:iCs/>
          <w:sz w:val="28"/>
          <w:szCs w:val="28"/>
        </w:rPr>
        <w:t>.</w:t>
      </w:r>
    </w:p>
    <w:p w14:paraId="3EBF0DA9" w14:textId="77777777" w:rsidR="001952A4" w:rsidRPr="0007351E" w:rsidRDefault="001952A4" w:rsidP="001952A4">
      <w:pPr>
        <w:rPr>
          <w:rFonts w:ascii="Times New Roman" w:hAnsi="Times New Roman" w:cs="Times New Roman"/>
          <w:sz w:val="20"/>
          <w:szCs w:val="24"/>
        </w:rPr>
      </w:pPr>
    </w:p>
    <w:tbl>
      <w:tblPr>
        <w:tblStyle w:val="TableGrid"/>
        <w:tblW w:w="14493" w:type="dxa"/>
        <w:tblInd w:w="-998" w:type="dxa"/>
        <w:tblLayout w:type="fixed"/>
        <w:tblLook w:val="04A0" w:firstRow="1" w:lastRow="0" w:firstColumn="1" w:lastColumn="0" w:noHBand="0" w:noVBand="1"/>
      </w:tblPr>
      <w:tblGrid>
        <w:gridCol w:w="1353"/>
        <w:gridCol w:w="1800"/>
        <w:gridCol w:w="2430"/>
        <w:gridCol w:w="1890"/>
        <w:gridCol w:w="1710"/>
        <w:gridCol w:w="1890"/>
        <w:gridCol w:w="1620"/>
        <w:gridCol w:w="1800"/>
      </w:tblGrid>
      <w:tr w:rsidR="008B547F" w:rsidRPr="00582481" w14:paraId="3C5AEC3A" w14:textId="77777777" w:rsidTr="008B547F">
        <w:trPr>
          <w:tblHeader/>
        </w:trPr>
        <w:tc>
          <w:tcPr>
            <w:tcW w:w="1353" w:type="dxa"/>
          </w:tcPr>
          <w:p w14:paraId="427BD85F" w14:textId="211E20D8" w:rsidR="008B547F" w:rsidRPr="00582481" w:rsidRDefault="008B547F" w:rsidP="005929BE">
            <w:pPr>
              <w:jc w:val="center"/>
              <w:rPr>
                <w:rFonts w:cstheme="minorHAnsi"/>
                <w:b/>
                <w:sz w:val="20"/>
                <w:szCs w:val="20"/>
              </w:rPr>
            </w:pPr>
            <w:r w:rsidRPr="00582481">
              <w:rPr>
                <w:rFonts w:cstheme="minorHAnsi"/>
                <w:b/>
                <w:sz w:val="20"/>
                <w:szCs w:val="20"/>
              </w:rPr>
              <w:t>Province</w:t>
            </w:r>
            <w:r>
              <w:rPr>
                <w:rFonts w:cstheme="minorHAnsi"/>
                <w:b/>
                <w:sz w:val="20"/>
                <w:szCs w:val="20"/>
              </w:rPr>
              <w:t>/ Territory</w:t>
            </w:r>
          </w:p>
        </w:tc>
        <w:tc>
          <w:tcPr>
            <w:tcW w:w="1800" w:type="dxa"/>
          </w:tcPr>
          <w:p w14:paraId="24289565" w14:textId="77777777" w:rsidR="008B547F" w:rsidRPr="00582481" w:rsidRDefault="008B547F" w:rsidP="005929BE">
            <w:pPr>
              <w:jc w:val="center"/>
              <w:rPr>
                <w:rFonts w:cstheme="minorHAnsi"/>
                <w:b/>
                <w:sz w:val="20"/>
                <w:szCs w:val="20"/>
              </w:rPr>
            </w:pPr>
            <w:r w:rsidRPr="00582481">
              <w:rPr>
                <w:rFonts w:cstheme="minorHAnsi"/>
                <w:b/>
                <w:sz w:val="20"/>
                <w:szCs w:val="20"/>
              </w:rPr>
              <w:t>Name of Strategy</w:t>
            </w:r>
          </w:p>
        </w:tc>
        <w:tc>
          <w:tcPr>
            <w:tcW w:w="2430" w:type="dxa"/>
          </w:tcPr>
          <w:p w14:paraId="43F81836" w14:textId="77777777" w:rsidR="008B547F" w:rsidRPr="00582481" w:rsidRDefault="008B547F" w:rsidP="005929BE">
            <w:pPr>
              <w:jc w:val="center"/>
              <w:rPr>
                <w:rFonts w:cstheme="minorHAnsi"/>
                <w:b/>
                <w:sz w:val="20"/>
                <w:szCs w:val="20"/>
              </w:rPr>
            </w:pPr>
            <w:r w:rsidRPr="00582481">
              <w:rPr>
                <w:rFonts w:cstheme="minorHAnsi"/>
                <w:b/>
                <w:sz w:val="20"/>
                <w:szCs w:val="20"/>
              </w:rPr>
              <w:t>Strategy Scope</w:t>
            </w:r>
          </w:p>
        </w:tc>
        <w:tc>
          <w:tcPr>
            <w:tcW w:w="1890" w:type="dxa"/>
          </w:tcPr>
          <w:p w14:paraId="1FC5A543" w14:textId="77777777" w:rsidR="008B547F" w:rsidRPr="00582481" w:rsidRDefault="008B547F" w:rsidP="005929BE">
            <w:pPr>
              <w:jc w:val="center"/>
              <w:rPr>
                <w:rFonts w:cstheme="minorHAnsi"/>
                <w:b/>
                <w:sz w:val="20"/>
                <w:szCs w:val="20"/>
              </w:rPr>
            </w:pPr>
            <w:r w:rsidRPr="00582481">
              <w:rPr>
                <w:rFonts w:cstheme="minorHAnsi"/>
                <w:b/>
                <w:sz w:val="20"/>
                <w:szCs w:val="20"/>
              </w:rPr>
              <w:t>Strategy Development Process</w:t>
            </w:r>
          </w:p>
        </w:tc>
        <w:tc>
          <w:tcPr>
            <w:tcW w:w="1710" w:type="dxa"/>
          </w:tcPr>
          <w:p w14:paraId="7C61C66A" w14:textId="77777777" w:rsidR="008B547F" w:rsidRPr="00582481" w:rsidRDefault="008B547F" w:rsidP="005929BE">
            <w:pPr>
              <w:jc w:val="center"/>
              <w:rPr>
                <w:rFonts w:cstheme="minorHAnsi"/>
                <w:b/>
                <w:sz w:val="20"/>
                <w:szCs w:val="20"/>
              </w:rPr>
            </w:pPr>
            <w:r w:rsidRPr="00582481">
              <w:rPr>
                <w:rFonts w:cstheme="minorHAnsi"/>
                <w:b/>
                <w:sz w:val="20"/>
                <w:szCs w:val="20"/>
              </w:rPr>
              <w:t>Strategy Document Structure</w:t>
            </w:r>
          </w:p>
        </w:tc>
        <w:tc>
          <w:tcPr>
            <w:tcW w:w="1890" w:type="dxa"/>
          </w:tcPr>
          <w:p w14:paraId="4E05D0DC" w14:textId="77777777" w:rsidR="008B547F" w:rsidRPr="00582481" w:rsidRDefault="008B547F" w:rsidP="005929BE">
            <w:pPr>
              <w:jc w:val="center"/>
              <w:rPr>
                <w:rFonts w:cstheme="minorHAnsi"/>
                <w:b/>
                <w:sz w:val="20"/>
                <w:szCs w:val="20"/>
              </w:rPr>
            </w:pPr>
            <w:r w:rsidRPr="00582481">
              <w:rPr>
                <w:rFonts w:cstheme="minorHAnsi"/>
                <w:b/>
                <w:sz w:val="20"/>
                <w:szCs w:val="20"/>
              </w:rPr>
              <w:t>Key Findings &amp; Recommendations</w:t>
            </w:r>
          </w:p>
        </w:tc>
        <w:tc>
          <w:tcPr>
            <w:tcW w:w="1620" w:type="dxa"/>
          </w:tcPr>
          <w:p w14:paraId="502A679B" w14:textId="77777777" w:rsidR="008B547F" w:rsidRPr="00582481" w:rsidRDefault="008B547F" w:rsidP="005929BE">
            <w:pPr>
              <w:jc w:val="center"/>
              <w:rPr>
                <w:rFonts w:cstheme="minorHAnsi"/>
                <w:b/>
                <w:sz w:val="20"/>
                <w:szCs w:val="20"/>
              </w:rPr>
            </w:pPr>
            <w:r w:rsidRPr="00582481">
              <w:rPr>
                <w:rFonts w:cstheme="minorHAnsi"/>
                <w:b/>
                <w:sz w:val="20"/>
                <w:szCs w:val="20"/>
              </w:rPr>
              <w:t>Details for Inclusion in National Strategy</w:t>
            </w:r>
          </w:p>
        </w:tc>
        <w:tc>
          <w:tcPr>
            <w:tcW w:w="1800" w:type="dxa"/>
          </w:tcPr>
          <w:p w14:paraId="05D57D6E" w14:textId="48A56780" w:rsidR="008B547F" w:rsidRPr="00582481" w:rsidRDefault="008B547F" w:rsidP="005929BE">
            <w:pPr>
              <w:jc w:val="center"/>
              <w:rPr>
                <w:rFonts w:cstheme="minorHAnsi"/>
                <w:b/>
                <w:sz w:val="20"/>
                <w:szCs w:val="20"/>
              </w:rPr>
            </w:pPr>
            <w:r w:rsidRPr="00582481">
              <w:rPr>
                <w:rFonts w:cstheme="minorHAnsi"/>
                <w:b/>
                <w:sz w:val="20"/>
                <w:szCs w:val="20"/>
              </w:rPr>
              <w:t>Strategy Status</w:t>
            </w:r>
            <w:r>
              <w:rPr>
                <w:rFonts w:cstheme="minorHAnsi"/>
                <w:b/>
                <w:sz w:val="20"/>
                <w:szCs w:val="20"/>
              </w:rPr>
              <w:t xml:space="preserve"> and Notes</w:t>
            </w:r>
          </w:p>
        </w:tc>
      </w:tr>
      <w:tr w:rsidR="008B547F" w:rsidRPr="00582481" w14:paraId="1DFE7B9B" w14:textId="77777777" w:rsidTr="008B547F">
        <w:trPr>
          <w:trHeight w:val="4192"/>
        </w:trPr>
        <w:tc>
          <w:tcPr>
            <w:tcW w:w="1353" w:type="dxa"/>
          </w:tcPr>
          <w:p w14:paraId="072532AF" w14:textId="77777777" w:rsidR="008B547F" w:rsidRPr="00582481" w:rsidRDefault="008B547F" w:rsidP="005929BE">
            <w:pPr>
              <w:rPr>
                <w:rFonts w:cstheme="minorHAnsi"/>
                <w:sz w:val="20"/>
                <w:szCs w:val="20"/>
              </w:rPr>
            </w:pPr>
            <w:r w:rsidRPr="000B12DA">
              <w:rPr>
                <w:rStyle w:val="Heading3Char"/>
                <w:rFonts w:asciiTheme="minorHAnsi" w:hAnsiTheme="minorHAnsi" w:cstheme="minorHAnsi"/>
                <w:b/>
                <w:bCs/>
                <w:color w:val="auto"/>
              </w:rPr>
              <w:t>British Columbia</w:t>
            </w:r>
            <w:r w:rsidRPr="000B12DA">
              <w:rPr>
                <w:rFonts w:cstheme="minorHAnsi"/>
                <w:sz w:val="20"/>
                <w:szCs w:val="20"/>
              </w:rPr>
              <w:t xml:space="preserve"> </w:t>
            </w:r>
            <w:r w:rsidRPr="00582481">
              <w:rPr>
                <w:rFonts w:cstheme="minorHAnsi"/>
                <w:sz w:val="20"/>
                <w:szCs w:val="20"/>
              </w:rPr>
              <w:t>(prepared in 2014 by the BC Provincial Government as a cross departmental/ministerial initiative)</w:t>
            </w:r>
          </w:p>
        </w:tc>
        <w:tc>
          <w:tcPr>
            <w:tcW w:w="1800" w:type="dxa"/>
          </w:tcPr>
          <w:p w14:paraId="39160D3C" w14:textId="77777777" w:rsidR="008B547F" w:rsidRPr="008B547F" w:rsidRDefault="008B547F" w:rsidP="008B547F">
            <w:pPr>
              <w:pStyle w:val="Heading4"/>
              <w:rPr>
                <w:rFonts w:asciiTheme="minorHAnsi" w:hAnsiTheme="minorHAnsi" w:cstheme="minorHAnsi"/>
                <w:b/>
                <w:bCs/>
                <w:i w:val="0"/>
                <w:iCs w:val="0"/>
              </w:rPr>
            </w:pPr>
            <w:r w:rsidRPr="008B547F">
              <w:rPr>
                <w:rFonts w:asciiTheme="minorHAnsi" w:hAnsiTheme="minorHAnsi" w:cstheme="minorHAnsi"/>
                <w:b/>
                <w:bCs/>
                <w:i w:val="0"/>
                <w:iCs w:val="0"/>
                <w:color w:val="auto"/>
              </w:rPr>
              <w:t>Accessibility 2040: Making BC the most progressive province in Canada for people with disabilities by 2024</w:t>
            </w:r>
          </w:p>
        </w:tc>
        <w:tc>
          <w:tcPr>
            <w:tcW w:w="2430" w:type="dxa"/>
          </w:tcPr>
          <w:p w14:paraId="1E069057" w14:textId="2B180E7E" w:rsidR="008B547F" w:rsidRPr="00582481" w:rsidRDefault="008B547F" w:rsidP="005929BE">
            <w:pPr>
              <w:rPr>
                <w:rFonts w:cstheme="minorHAnsi"/>
                <w:sz w:val="20"/>
                <w:szCs w:val="20"/>
              </w:rPr>
            </w:pPr>
            <w:r>
              <w:rPr>
                <w:rFonts w:cstheme="minorHAnsi"/>
                <w:sz w:val="20"/>
                <w:szCs w:val="20"/>
              </w:rPr>
              <w:t>A</w:t>
            </w:r>
            <w:r w:rsidRPr="00582481">
              <w:rPr>
                <w:rFonts w:cstheme="minorHAnsi"/>
                <w:sz w:val="20"/>
                <w:szCs w:val="20"/>
              </w:rPr>
              <w:t xml:space="preserve"> 10-year plan with 12 building blocks: 1) inclusive government, 2) accessible service delivery, 3) accessible internet, 4) accessible built environment, 5) accessible housing, 6) accessible transportation, 7) income support, 8) employment, 9) financial security, 10) inclusive communities, 11) emergency preparedness, and 12) consumer experience</w:t>
            </w:r>
          </w:p>
        </w:tc>
        <w:tc>
          <w:tcPr>
            <w:tcW w:w="1890" w:type="dxa"/>
          </w:tcPr>
          <w:p w14:paraId="7CDC0F67" w14:textId="77777777" w:rsidR="008B547F" w:rsidRPr="00582481" w:rsidRDefault="008B547F" w:rsidP="005929BE">
            <w:pPr>
              <w:rPr>
                <w:rFonts w:cstheme="minorHAnsi"/>
                <w:sz w:val="20"/>
                <w:szCs w:val="20"/>
              </w:rPr>
            </w:pPr>
            <w:r w:rsidRPr="00582481">
              <w:rPr>
                <w:rFonts w:cstheme="minorHAnsi"/>
                <w:sz w:val="20"/>
                <w:szCs w:val="20"/>
              </w:rPr>
              <w:t>Public consultations were undertaken for a 3-month period from Dec 2013 to March 2014</w:t>
            </w:r>
          </w:p>
        </w:tc>
        <w:tc>
          <w:tcPr>
            <w:tcW w:w="1710" w:type="dxa"/>
          </w:tcPr>
          <w:p w14:paraId="2147CC4B" w14:textId="77777777" w:rsidR="008B547F" w:rsidRPr="00582481" w:rsidRDefault="008B547F" w:rsidP="005929BE">
            <w:pPr>
              <w:rPr>
                <w:rFonts w:cstheme="minorHAnsi"/>
                <w:sz w:val="20"/>
                <w:szCs w:val="20"/>
              </w:rPr>
            </w:pPr>
            <w:r w:rsidRPr="00582481">
              <w:rPr>
                <w:rFonts w:cstheme="minorHAnsi"/>
                <w:sz w:val="20"/>
                <w:szCs w:val="20"/>
              </w:rPr>
              <w:t>Overview of 12 building blocks including success measures and what can be committed to/done now</w:t>
            </w:r>
          </w:p>
        </w:tc>
        <w:tc>
          <w:tcPr>
            <w:tcW w:w="1890" w:type="dxa"/>
          </w:tcPr>
          <w:p w14:paraId="5A75260C" w14:textId="77777777" w:rsidR="008B547F" w:rsidRPr="00582481" w:rsidRDefault="008B547F" w:rsidP="005929BE">
            <w:pPr>
              <w:rPr>
                <w:rFonts w:cstheme="minorHAnsi"/>
                <w:sz w:val="20"/>
                <w:szCs w:val="20"/>
              </w:rPr>
            </w:pPr>
            <w:r w:rsidRPr="00582481">
              <w:rPr>
                <w:rFonts w:cstheme="minorHAnsi"/>
                <w:sz w:val="20"/>
                <w:szCs w:val="20"/>
              </w:rPr>
              <w:t>Goals, measures, and commitments are outlined for each of the 12 building blocks. There is a plan to prepare an annual report and an Accessibility 2024 website</w:t>
            </w:r>
          </w:p>
        </w:tc>
        <w:tc>
          <w:tcPr>
            <w:tcW w:w="1620" w:type="dxa"/>
          </w:tcPr>
          <w:p w14:paraId="5B417B2A" w14:textId="77777777" w:rsidR="008B547F" w:rsidRPr="00582481" w:rsidRDefault="008B547F" w:rsidP="005929BE">
            <w:pPr>
              <w:rPr>
                <w:rFonts w:cstheme="minorHAnsi"/>
                <w:sz w:val="20"/>
                <w:szCs w:val="20"/>
              </w:rPr>
            </w:pPr>
            <w:r w:rsidRPr="00582481">
              <w:rPr>
                <w:rFonts w:cstheme="minorHAnsi"/>
                <w:sz w:val="20"/>
                <w:szCs w:val="20"/>
              </w:rPr>
              <w:t xml:space="preserve">Building blocks’ goals and success measures, outlining current realistic commitments, and a yearly progress report </w:t>
            </w:r>
          </w:p>
        </w:tc>
        <w:tc>
          <w:tcPr>
            <w:tcW w:w="1800" w:type="dxa"/>
          </w:tcPr>
          <w:p w14:paraId="7A1EEE2B" w14:textId="60DF944B" w:rsidR="008B547F" w:rsidRPr="00582481" w:rsidRDefault="008B547F" w:rsidP="005929BE">
            <w:pPr>
              <w:rPr>
                <w:rFonts w:cstheme="minorHAnsi"/>
                <w:sz w:val="20"/>
                <w:szCs w:val="20"/>
              </w:rPr>
            </w:pPr>
            <w:r w:rsidRPr="00582481">
              <w:rPr>
                <w:rFonts w:cstheme="minorHAnsi"/>
                <w:sz w:val="20"/>
                <w:szCs w:val="20"/>
              </w:rPr>
              <w:t>The 2017 annual report is available online</w:t>
            </w:r>
            <w:r>
              <w:rPr>
                <w:rFonts w:cstheme="minorHAnsi"/>
                <w:sz w:val="20"/>
                <w:szCs w:val="20"/>
              </w:rPr>
              <w:t xml:space="preserve">. Notes: </w:t>
            </w:r>
            <w:r w:rsidRPr="00582481">
              <w:rPr>
                <w:rFonts w:cstheme="minorHAnsi"/>
                <w:sz w:val="20"/>
                <w:szCs w:val="20"/>
              </w:rPr>
              <w:t>The strategy document development process involved of consulting with various stakeholders and interest groups; comprehensive plan cuts across provincial departments and ministries</w:t>
            </w:r>
          </w:p>
        </w:tc>
      </w:tr>
      <w:tr w:rsidR="008B547F" w:rsidRPr="00582481" w14:paraId="0DF4DF49" w14:textId="77777777" w:rsidTr="008B547F">
        <w:trPr>
          <w:trHeight w:val="2267"/>
        </w:trPr>
        <w:tc>
          <w:tcPr>
            <w:tcW w:w="1353" w:type="dxa"/>
          </w:tcPr>
          <w:p w14:paraId="46D8AE64" w14:textId="77777777" w:rsidR="008B547F" w:rsidRPr="00582481" w:rsidRDefault="008B547F" w:rsidP="005929BE">
            <w:pPr>
              <w:rPr>
                <w:rFonts w:cstheme="minorHAnsi"/>
                <w:sz w:val="20"/>
                <w:szCs w:val="20"/>
              </w:rPr>
            </w:pPr>
            <w:r w:rsidRPr="000B12DA">
              <w:rPr>
                <w:rStyle w:val="Heading3Char"/>
                <w:rFonts w:asciiTheme="minorHAnsi" w:hAnsiTheme="minorHAnsi" w:cstheme="minorHAnsi"/>
                <w:b/>
                <w:bCs/>
                <w:color w:val="auto"/>
              </w:rPr>
              <w:t>Alberta</w:t>
            </w:r>
            <w:r w:rsidRPr="00582481">
              <w:rPr>
                <w:rFonts w:cstheme="minorHAnsi"/>
                <w:sz w:val="20"/>
                <w:szCs w:val="20"/>
              </w:rPr>
              <w:t xml:space="preserve"> (one-page plan created in 2018 by the Premier's Council on the Status of Persons with Disabilities)</w:t>
            </w:r>
          </w:p>
        </w:tc>
        <w:tc>
          <w:tcPr>
            <w:tcW w:w="1800" w:type="dxa"/>
          </w:tcPr>
          <w:p w14:paraId="01A71E4E" w14:textId="77777777" w:rsidR="008B547F" w:rsidRPr="000B12DA" w:rsidRDefault="008B547F" w:rsidP="008B547F">
            <w:pPr>
              <w:pStyle w:val="Heading4"/>
              <w:rPr>
                <w:rFonts w:cstheme="minorHAnsi"/>
                <w:b/>
                <w:bCs/>
                <w:sz w:val="20"/>
                <w:szCs w:val="20"/>
              </w:rPr>
            </w:pPr>
            <w:r w:rsidRPr="008B547F">
              <w:rPr>
                <w:rFonts w:asciiTheme="minorHAnsi" w:hAnsiTheme="minorHAnsi" w:cstheme="minorHAnsi"/>
                <w:b/>
                <w:bCs/>
                <w:i w:val="0"/>
                <w:iCs w:val="0"/>
                <w:color w:val="auto"/>
              </w:rPr>
              <w:t>Premier's Council on the Status of Persons with Disabilities: 2018-2020 Strategic Plan</w:t>
            </w:r>
          </w:p>
        </w:tc>
        <w:tc>
          <w:tcPr>
            <w:tcW w:w="2430" w:type="dxa"/>
          </w:tcPr>
          <w:p w14:paraId="03424000" w14:textId="77777777" w:rsidR="008B547F" w:rsidRPr="00582481" w:rsidRDefault="008B547F" w:rsidP="005929BE">
            <w:pPr>
              <w:rPr>
                <w:rFonts w:cstheme="minorHAnsi"/>
                <w:sz w:val="20"/>
                <w:szCs w:val="20"/>
              </w:rPr>
            </w:pPr>
            <w:r w:rsidRPr="00582481">
              <w:rPr>
                <w:rFonts w:cstheme="minorHAnsi"/>
                <w:sz w:val="20"/>
                <w:szCs w:val="20"/>
              </w:rPr>
              <w:t>Six focus areas: 1) housing, 2) employment, 3) income security, 4) support services, 5) indigenous communities and rural/remote communities, and 6) communications and community engagement</w:t>
            </w:r>
          </w:p>
        </w:tc>
        <w:tc>
          <w:tcPr>
            <w:tcW w:w="1890" w:type="dxa"/>
          </w:tcPr>
          <w:p w14:paraId="1F9DF32E" w14:textId="77777777" w:rsidR="008B547F" w:rsidRPr="00582481" w:rsidRDefault="008B547F" w:rsidP="005929BE">
            <w:pPr>
              <w:rPr>
                <w:rFonts w:cstheme="minorHAnsi"/>
                <w:sz w:val="20"/>
                <w:szCs w:val="20"/>
              </w:rPr>
            </w:pPr>
            <w:r w:rsidRPr="00582481">
              <w:rPr>
                <w:rFonts w:cstheme="minorHAnsi"/>
                <w:sz w:val="20"/>
                <w:szCs w:val="20"/>
              </w:rPr>
              <w:t>Strategic planning process involving surveying</w:t>
            </w:r>
          </w:p>
          <w:p w14:paraId="0986ED03" w14:textId="77777777" w:rsidR="008B547F" w:rsidRPr="00582481" w:rsidRDefault="008B547F" w:rsidP="005929BE">
            <w:pPr>
              <w:rPr>
                <w:rFonts w:cstheme="minorHAnsi"/>
                <w:sz w:val="20"/>
                <w:szCs w:val="20"/>
              </w:rPr>
            </w:pPr>
            <w:r w:rsidRPr="00582481">
              <w:rPr>
                <w:rFonts w:cstheme="minorHAnsi"/>
                <w:sz w:val="20"/>
                <w:szCs w:val="20"/>
              </w:rPr>
              <w:t xml:space="preserve">182 parties, leading to the 2018-2020 Strategic Plan </w:t>
            </w:r>
          </w:p>
        </w:tc>
        <w:tc>
          <w:tcPr>
            <w:tcW w:w="1710" w:type="dxa"/>
          </w:tcPr>
          <w:p w14:paraId="183F4740" w14:textId="77777777" w:rsidR="008B547F" w:rsidRPr="00582481" w:rsidRDefault="008B547F" w:rsidP="005929BE">
            <w:pPr>
              <w:rPr>
                <w:rFonts w:cstheme="minorHAnsi"/>
                <w:sz w:val="20"/>
                <w:szCs w:val="20"/>
              </w:rPr>
            </w:pPr>
            <w:r w:rsidRPr="00582481">
              <w:rPr>
                <w:rFonts w:cstheme="minorHAnsi"/>
                <w:sz w:val="20"/>
                <w:szCs w:val="20"/>
              </w:rPr>
              <w:t>1-page flow chart schema</w:t>
            </w:r>
          </w:p>
        </w:tc>
        <w:tc>
          <w:tcPr>
            <w:tcW w:w="1890" w:type="dxa"/>
          </w:tcPr>
          <w:p w14:paraId="4E9D1217" w14:textId="77777777" w:rsidR="008B547F" w:rsidRPr="00582481" w:rsidRDefault="008B547F" w:rsidP="005929BE">
            <w:pPr>
              <w:rPr>
                <w:rFonts w:cstheme="minorHAnsi"/>
                <w:sz w:val="20"/>
                <w:szCs w:val="20"/>
              </w:rPr>
            </w:pPr>
            <w:r w:rsidRPr="00582481">
              <w:rPr>
                <w:rFonts w:cstheme="minorHAnsi"/>
                <w:sz w:val="20"/>
                <w:szCs w:val="20"/>
              </w:rPr>
              <w:t xml:space="preserve">Annual reports have been prepared by the Premier's Council on the Status of Persons with Disabilities since 1981; no recommendations (still in initial stages) </w:t>
            </w:r>
          </w:p>
        </w:tc>
        <w:tc>
          <w:tcPr>
            <w:tcW w:w="1620" w:type="dxa"/>
          </w:tcPr>
          <w:p w14:paraId="7ACBE883" w14:textId="77777777" w:rsidR="008B547F" w:rsidRPr="00582481" w:rsidRDefault="008B547F" w:rsidP="005929BE">
            <w:pPr>
              <w:rPr>
                <w:rFonts w:cstheme="minorHAnsi"/>
                <w:sz w:val="20"/>
                <w:szCs w:val="20"/>
              </w:rPr>
            </w:pPr>
            <w:r w:rsidRPr="00582481">
              <w:rPr>
                <w:rFonts w:cstheme="minorHAnsi"/>
                <w:sz w:val="20"/>
                <w:szCs w:val="20"/>
              </w:rPr>
              <w:t>Flowchart or logic diagram</w:t>
            </w:r>
          </w:p>
        </w:tc>
        <w:tc>
          <w:tcPr>
            <w:tcW w:w="1800" w:type="dxa"/>
          </w:tcPr>
          <w:p w14:paraId="7BA3DE2D" w14:textId="77777777" w:rsidR="008B547F" w:rsidRPr="00582481" w:rsidRDefault="008B547F" w:rsidP="005929BE">
            <w:pPr>
              <w:rPr>
                <w:rFonts w:cstheme="minorHAnsi"/>
                <w:sz w:val="20"/>
                <w:szCs w:val="20"/>
              </w:rPr>
            </w:pPr>
            <w:r w:rsidRPr="00582481">
              <w:rPr>
                <w:rFonts w:cstheme="minorHAnsi"/>
                <w:sz w:val="20"/>
                <w:szCs w:val="20"/>
              </w:rPr>
              <w:t>Recently developed (next steps not provided online)</w:t>
            </w:r>
          </w:p>
        </w:tc>
      </w:tr>
      <w:tr w:rsidR="008B547F" w:rsidRPr="00582481" w14:paraId="271887FC" w14:textId="77777777" w:rsidTr="008B547F">
        <w:trPr>
          <w:trHeight w:val="2267"/>
        </w:trPr>
        <w:tc>
          <w:tcPr>
            <w:tcW w:w="1353" w:type="dxa"/>
          </w:tcPr>
          <w:p w14:paraId="764E92D4" w14:textId="236B9EE8" w:rsidR="008B547F" w:rsidRPr="000B12DA" w:rsidRDefault="008B547F" w:rsidP="008B547F">
            <w:pPr>
              <w:rPr>
                <w:rStyle w:val="Heading3Char"/>
                <w:rFonts w:asciiTheme="minorHAnsi" w:hAnsiTheme="minorHAnsi" w:cstheme="minorHAnsi"/>
                <w:b/>
                <w:bCs/>
                <w:color w:val="auto"/>
              </w:rPr>
            </w:pPr>
            <w:r w:rsidRPr="000B12DA">
              <w:rPr>
                <w:rStyle w:val="Heading3Char"/>
                <w:rFonts w:asciiTheme="minorHAnsi" w:hAnsiTheme="minorHAnsi" w:cstheme="minorHAnsi"/>
                <w:b/>
                <w:bCs/>
                <w:color w:val="auto"/>
              </w:rPr>
              <w:lastRenderedPageBreak/>
              <w:t xml:space="preserve">Saskatchewan </w:t>
            </w:r>
            <w:r w:rsidRPr="00582481">
              <w:rPr>
                <w:rFonts w:cstheme="minorHAnsi"/>
                <w:sz w:val="20"/>
                <w:szCs w:val="20"/>
              </w:rPr>
              <w:t>(created by a 15-member Citizen Consultation Team in June 2015)</w:t>
            </w:r>
          </w:p>
        </w:tc>
        <w:tc>
          <w:tcPr>
            <w:tcW w:w="1800" w:type="dxa"/>
          </w:tcPr>
          <w:p w14:paraId="3F63B884" w14:textId="72BBEF4A" w:rsidR="008B547F" w:rsidRPr="008B547F" w:rsidRDefault="008B547F" w:rsidP="008B547F">
            <w:pPr>
              <w:pStyle w:val="Heading4"/>
              <w:rPr>
                <w:rFonts w:asciiTheme="minorHAnsi" w:hAnsiTheme="minorHAnsi" w:cstheme="minorHAnsi"/>
                <w:b/>
                <w:bCs/>
                <w:i w:val="0"/>
                <w:iCs w:val="0"/>
                <w:color w:val="auto"/>
              </w:rPr>
            </w:pPr>
            <w:r w:rsidRPr="008B547F">
              <w:rPr>
                <w:rFonts w:asciiTheme="minorHAnsi" w:hAnsiTheme="minorHAnsi" w:cstheme="minorHAnsi"/>
                <w:b/>
                <w:bCs/>
                <w:i w:val="0"/>
                <w:iCs w:val="0"/>
                <w:color w:val="auto"/>
              </w:rPr>
              <w:t>People before systems: Transforming the experience of disability in Saskatchewan</w:t>
            </w:r>
          </w:p>
        </w:tc>
        <w:tc>
          <w:tcPr>
            <w:tcW w:w="2430" w:type="dxa"/>
          </w:tcPr>
          <w:p w14:paraId="2ED7CEE3" w14:textId="77777777" w:rsidR="008B547F" w:rsidRPr="00582481" w:rsidRDefault="008B547F" w:rsidP="008B547F">
            <w:pPr>
              <w:rPr>
                <w:rFonts w:cstheme="minorHAnsi"/>
                <w:sz w:val="20"/>
                <w:szCs w:val="20"/>
              </w:rPr>
            </w:pPr>
            <w:r w:rsidRPr="00582481">
              <w:rPr>
                <w:rFonts w:cstheme="minorHAnsi"/>
                <w:sz w:val="20"/>
                <w:szCs w:val="20"/>
              </w:rPr>
              <w:t>Broad strategy including</w:t>
            </w:r>
          </w:p>
          <w:p w14:paraId="2828AE9C" w14:textId="77777777" w:rsidR="008B547F" w:rsidRPr="00582481" w:rsidRDefault="008B547F" w:rsidP="008B547F">
            <w:pPr>
              <w:rPr>
                <w:rFonts w:cstheme="minorHAnsi"/>
                <w:sz w:val="20"/>
                <w:szCs w:val="20"/>
              </w:rPr>
            </w:pPr>
            <w:r w:rsidRPr="00582481">
              <w:rPr>
                <w:rFonts w:cstheme="minorHAnsi"/>
                <w:sz w:val="20"/>
                <w:szCs w:val="20"/>
              </w:rPr>
              <w:t>new term “People experiencing disability” using an</w:t>
            </w:r>
          </w:p>
          <w:p w14:paraId="3BBF6FD6" w14:textId="77777777" w:rsidR="008B547F" w:rsidRPr="00582481" w:rsidRDefault="008B547F" w:rsidP="008B547F">
            <w:pPr>
              <w:rPr>
                <w:rFonts w:cstheme="minorHAnsi"/>
                <w:sz w:val="20"/>
                <w:szCs w:val="20"/>
              </w:rPr>
            </w:pPr>
            <w:r w:rsidRPr="00582481">
              <w:rPr>
                <w:rFonts w:cstheme="minorHAnsi"/>
                <w:sz w:val="20"/>
                <w:szCs w:val="20"/>
              </w:rPr>
              <w:t xml:space="preserve">impact-based approach to program eligibility </w:t>
            </w:r>
          </w:p>
          <w:p w14:paraId="6FAA7033" w14:textId="77777777" w:rsidR="008B547F" w:rsidRPr="00582481" w:rsidRDefault="008B547F" w:rsidP="008B547F">
            <w:pPr>
              <w:rPr>
                <w:rFonts w:cstheme="minorHAnsi"/>
                <w:sz w:val="20"/>
                <w:szCs w:val="20"/>
              </w:rPr>
            </w:pPr>
          </w:p>
        </w:tc>
        <w:tc>
          <w:tcPr>
            <w:tcW w:w="1890" w:type="dxa"/>
          </w:tcPr>
          <w:p w14:paraId="3A32446D" w14:textId="77777777" w:rsidR="008B547F" w:rsidRPr="00582481" w:rsidRDefault="008B547F" w:rsidP="008B547F">
            <w:pPr>
              <w:rPr>
                <w:rFonts w:cstheme="minorHAnsi"/>
                <w:sz w:val="20"/>
                <w:szCs w:val="20"/>
              </w:rPr>
            </w:pPr>
            <w:r w:rsidRPr="00582481">
              <w:rPr>
                <w:rFonts w:cstheme="minorHAnsi"/>
                <w:sz w:val="20"/>
                <w:szCs w:val="20"/>
              </w:rPr>
              <w:t>15-member Citizen Consultation Team (CCT) including</w:t>
            </w:r>
          </w:p>
          <w:p w14:paraId="789F42F8" w14:textId="3577E1B7" w:rsidR="008B547F" w:rsidRPr="00582481" w:rsidRDefault="008B547F" w:rsidP="008B547F">
            <w:pPr>
              <w:rPr>
                <w:rFonts w:cstheme="minorHAnsi"/>
                <w:sz w:val="20"/>
                <w:szCs w:val="20"/>
              </w:rPr>
            </w:pPr>
            <w:r w:rsidRPr="00582481">
              <w:rPr>
                <w:rFonts w:cstheme="minorHAnsi"/>
                <w:sz w:val="20"/>
                <w:szCs w:val="20"/>
              </w:rPr>
              <w:t xml:space="preserve">public meetings, focus groups, social media feedback, online surveys, and written submissions </w:t>
            </w:r>
          </w:p>
        </w:tc>
        <w:tc>
          <w:tcPr>
            <w:tcW w:w="1710" w:type="dxa"/>
          </w:tcPr>
          <w:p w14:paraId="531AF455" w14:textId="77777777" w:rsidR="008B547F" w:rsidRPr="00582481" w:rsidRDefault="008B547F" w:rsidP="008B547F">
            <w:pPr>
              <w:rPr>
                <w:rFonts w:cstheme="minorHAnsi"/>
                <w:sz w:val="20"/>
                <w:szCs w:val="20"/>
              </w:rPr>
            </w:pPr>
            <w:r w:rsidRPr="00582481">
              <w:rPr>
                <w:rFonts w:cstheme="minorHAnsi"/>
                <w:sz w:val="20"/>
                <w:szCs w:val="20"/>
              </w:rPr>
              <w:t xml:space="preserve">Four drivers of transformation, 12 strategy recommendations are organized into six broad priority outcome areas; Vision, Values and Principles are included in the appendix. </w:t>
            </w:r>
          </w:p>
          <w:p w14:paraId="10D91A69" w14:textId="77777777" w:rsidR="008B547F" w:rsidRPr="00582481" w:rsidRDefault="008B547F" w:rsidP="008B547F">
            <w:pPr>
              <w:rPr>
                <w:rFonts w:cstheme="minorHAnsi"/>
                <w:sz w:val="20"/>
                <w:szCs w:val="20"/>
              </w:rPr>
            </w:pPr>
          </w:p>
        </w:tc>
        <w:tc>
          <w:tcPr>
            <w:tcW w:w="1890" w:type="dxa"/>
          </w:tcPr>
          <w:p w14:paraId="73D6DA6D" w14:textId="4C1C4C53" w:rsidR="008B547F" w:rsidRPr="00582481" w:rsidRDefault="008B547F" w:rsidP="008B547F">
            <w:pPr>
              <w:rPr>
                <w:rFonts w:cstheme="minorHAnsi"/>
                <w:sz w:val="20"/>
                <w:szCs w:val="20"/>
              </w:rPr>
            </w:pPr>
            <w:r w:rsidRPr="00582481">
              <w:rPr>
                <w:rFonts w:cstheme="minorHAnsi"/>
                <w:sz w:val="20"/>
                <w:szCs w:val="20"/>
              </w:rPr>
              <w:t xml:space="preserve">Includes statistics on employment, income, and education as well as personal profiles </w:t>
            </w:r>
          </w:p>
        </w:tc>
        <w:tc>
          <w:tcPr>
            <w:tcW w:w="1620" w:type="dxa"/>
          </w:tcPr>
          <w:p w14:paraId="14866EDA" w14:textId="74A8F81F" w:rsidR="008B547F" w:rsidRPr="00582481" w:rsidRDefault="008B547F" w:rsidP="008B547F">
            <w:pPr>
              <w:rPr>
                <w:rFonts w:cstheme="minorHAnsi"/>
                <w:sz w:val="20"/>
                <w:szCs w:val="20"/>
              </w:rPr>
            </w:pPr>
            <w:r w:rsidRPr="00582481">
              <w:rPr>
                <w:rFonts w:cstheme="minorHAnsi"/>
                <w:sz w:val="20"/>
                <w:szCs w:val="20"/>
              </w:rPr>
              <w:t>Four drivers of transformation; examination of broader picture work disability policy</w:t>
            </w:r>
          </w:p>
        </w:tc>
        <w:tc>
          <w:tcPr>
            <w:tcW w:w="1800" w:type="dxa"/>
          </w:tcPr>
          <w:p w14:paraId="0457605D" w14:textId="1143B3A7" w:rsidR="008B547F" w:rsidRPr="00582481" w:rsidRDefault="008B547F" w:rsidP="008B547F">
            <w:pPr>
              <w:rPr>
                <w:rFonts w:cstheme="minorHAnsi"/>
                <w:sz w:val="20"/>
                <w:szCs w:val="20"/>
              </w:rPr>
            </w:pPr>
            <w:r w:rsidRPr="00582481">
              <w:rPr>
                <w:rFonts w:cstheme="minorHAnsi"/>
                <w:sz w:val="20"/>
                <w:szCs w:val="20"/>
              </w:rPr>
              <w:t>Implementation plans are being developed</w:t>
            </w:r>
          </w:p>
        </w:tc>
      </w:tr>
      <w:tr w:rsidR="008B547F" w:rsidRPr="00582481" w14:paraId="4E882CB9" w14:textId="77777777" w:rsidTr="008B547F">
        <w:trPr>
          <w:cantSplit/>
          <w:trHeight w:val="2267"/>
        </w:trPr>
        <w:tc>
          <w:tcPr>
            <w:tcW w:w="1353" w:type="dxa"/>
          </w:tcPr>
          <w:p w14:paraId="2DBD5DD0" w14:textId="0686CC56" w:rsidR="008B547F" w:rsidRPr="000B12DA" w:rsidRDefault="008B547F" w:rsidP="008B547F">
            <w:pPr>
              <w:rPr>
                <w:rStyle w:val="Heading3Char"/>
                <w:rFonts w:asciiTheme="minorHAnsi" w:hAnsiTheme="minorHAnsi" w:cstheme="minorHAnsi"/>
                <w:b/>
                <w:bCs/>
                <w:color w:val="auto"/>
              </w:rPr>
            </w:pPr>
            <w:r w:rsidRPr="000B12DA">
              <w:rPr>
                <w:rStyle w:val="Heading3Char"/>
                <w:rFonts w:asciiTheme="minorHAnsi" w:hAnsiTheme="minorHAnsi" w:cstheme="minorHAnsi"/>
                <w:b/>
                <w:bCs/>
                <w:color w:val="auto"/>
              </w:rPr>
              <w:lastRenderedPageBreak/>
              <w:t xml:space="preserve">Manitoba </w:t>
            </w:r>
            <w:r w:rsidRPr="00582481">
              <w:rPr>
                <w:rFonts w:cstheme="minorHAnsi"/>
                <w:sz w:val="20"/>
                <w:szCs w:val="20"/>
              </w:rPr>
              <w:t>(created in 2001 by the Government of Manitoba)</w:t>
            </w:r>
          </w:p>
        </w:tc>
        <w:tc>
          <w:tcPr>
            <w:tcW w:w="1800" w:type="dxa"/>
          </w:tcPr>
          <w:p w14:paraId="54C4C3B0" w14:textId="7C59AEBE" w:rsidR="008B547F" w:rsidRPr="008B547F" w:rsidRDefault="008B547F" w:rsidP="008B547F">
            <w:pPr>
              <w:pStyle w:val="Heading4"/>
              <w:rPr>
                <w:rFonts w:asciiTheme="minorHAnsi" w:hAnsiTheme="minorHAnsi" w:cstheme="minorHAnsi"/>
                <w:b/>
                <w:bCs/>
                <w:i w:val="0"/>
                <w:iCs w:val="0"/>
                <w:color w:val="auto"/>
              </w:rPr>
            </w:pPr>
            <w:r w:rsidRPr="008B547F">
              <w:rPr>
                <w:rFonts w:asciiTheme="minorHAnsi" w:hAnsiTheme="minorHAnsi" w:cstheme="minorHAnsi"/>
                <w:b/>
                <w:bCs/>
                <w:i w:val="0"/>
                <w:iCs w:val="0"/>
                <w:color w:val="auto"/>
              </w:rPr>
              <w:t>Full Citizenship: A Manitoba Provincial Strategy on Disability</w:t>
            </w:r>
          </w:p>
        </w:tc>
        <w:tc>
          <w:tcPr>
            <w:tcW w:w="2430" w:type="dxa"/>
          </w:tcPr>
          <w:p w14:paraId="1791B55F" w14:textId="77777777" w:rsidR="008B547F" w:rsidRPr="00582481" w:rsidRDefault="008B547F" w:rsidP="008B547F">
            <w:pPr>
              <w:rPr>
                <w:rFonts w:cstheme="minorHAnsi"/>
                <w:sz w:val="20"/>
                <w:szCs w:val="20"/>
              </w:rPr>
            </w:pPr>
            <w:r w:rsidRPr="00582481">
              <w:rPr>
                <w:rFonts w:cstheme="minorHAnsi"/>
                <w:sz w:val="20"/>
                <w:szCs w:val="20"/>
              </w:rPr>
              <w:t xml:space="preserve">Four Basic Building Blocks of Citizenship: </w:t>
            </w:r>
          </w:p>
          <w:p w14:paraId="4BE7CB36" w14:textId="30D15304" w:rsidR="008B547F" w:rsidRPr="00582481" w:rsidRDefault="008B547F" w:rsidP="008B547F">
            <w:pPr>
              <w:rPr>
                <w:rFonts w:cstheme="minorHAnsi"/>
                <w:sz w:val="20"/>
                <w:szCs w:val="20"/>
              </w:rPr>
            </w:pPr>
            <w:r w:rsidRPr="00582481">
              <w:rPr>
                <w:rFonts w:cstheme="minorHAnsi"/>
                <w:sz w:val="20"/>
                <w:szCs w:val="20"/>
              </w:rPr>
              <w:t>1)</w:t>
            </w:r>
            <w:r w:rsidR="000650E9">
              <w:rPr>
                <w:rFonts w:cstheme="minorHAnsi"/>
                <w:sz w:val="20"/>
                <w:szCs w:val="20"/>
              </w:rPr>
              <w:t xml:space="preserve"> </w:t>
            </w:r>
            <w:r w:rsidRPr="00582481">
              <w:rPr>
                <w:rFonts w:cstheme="minorHAnsi"/>
                <w:sz w:val="20"/>
                <w:szCs w:val="20"/>
              </w:rPr>
              <w:t>Income supports</w:t>
            </w:r>
          </w:p>
          <w:p w14:paraId="166BBE52" w14:textId="696A8DB4" w:rsidR="008B547F" w:rsidRPr="00582481" w:rsidRDefault="008B547F" w:rsidP="008B547F">
            <w:pPr>
              <w:rPr>
                <w:rFonts w:cstheme="minorHAnsi"/>
                <w:sz w:val="20"/>
                <w:szCs w:val="20"/>
              </w:rPr>
            </w:pPr>
            <w:r w:rsidRPr="00582481">
              <w:rPr>
                <w:rFonts w:cstheme="minorHAnsi"/>
                <w:sz w:val="20"/>
                <w:szCs w:val="20"/>
              </w:rPr>
              <w:t>2)</w:t>
            </w:r>
            <w:r w:rsidR="000650E9">
              <w:rPr>
                <w:rFonts w:cstheme="minorHAnsi"/>
                <w:sz w:val="20"/>
                <w:szCs w:val="20"/>
              </w:rPr>
              <w:t xml:space="preserve"> </w:t>
            </w:r>
            <w:r w:rsidRPr="00582481">
              <w:rPr>
                <w:rFonts w:cstheme="minorHAnsi"/>
                <w:sz w:val="20"/>
                <w:szCs w:val="20"/>
              </w:rPr>
              <w:t>Access to government</w:t>
            </w:r>
          </w:p>
          <w:p w14:paraId="1B940996" w14:textId="37CB16A5" w:rsidR="008B547F" w:rsidRPr="00582481" w:rsidRDefault="008B547F" w:rsidP="008B547F">
            <w:pPr>
              <w:rPr>
                <w:rFonts w:cstheme="minorHAnsi"/>
                <w:sz w:val="20"/>
                <w:szCs w:val="20"/>
              </w:rPr>
            </w:pPr>
            <w:r w:rsidRPr="00582481">
              <w:rPr>
                <w:rFonts w:cstheme="minorHAnsi"/>
                <w:sz w:val="20"/>
                <w:szCs w:val="20"/>
              </w:rPr>
              <w:t>3)</w:t>
            </w:r>
            <w:r w:rsidR="000650E9">
              <w:rPr>
                <w:rFonts w:cstheme="minorHAnsi"/>
                <w:sz w:val="20"/>
                <w:szCs w:val="20"/>
              </w:rPr>
              <w:t xml:space="preserve"> </w:t>
            </w:r>
            <w:r w:rsidRPr="00582481">
              <w:rPr>
                <w:rFonts w:cstheme="minorHAnsi"/>
                <w:sz w:val="20"/>
                <w:szCs w:val="20"/>
              </w:rPr>
              <w:t>Disability supports 4) Employment; each containing an Action Plan</w:t>
            </w:r>
          </w:p>
        </w:tc>
        <w:tc>
          <w:tcPr>
            <w:tcW w:w="1890" w:type="dxa"/>
          </w:tcPr>
          <w:p w14:paraId="19408062" w14:textId="12D5FF83" w:rsidR="008B547F" w:rsidRPr="00582481" w:rsidRDefault="008B547F" w:rsidP="008B547F">
            <w:pPr>
              <w:rPr>
                <w:rFonts w:cstheme="minorHAnsi"/>
                <w:sz w:val="20"/>
                <w:szCs w:val="20"/>
              </w:rPr>
            </w:pPr>
            <w:r w:rsidRPr="00582481">
              <w:rPr>
                <w:rFonts w:cstheme="minorHAnsi"/>
                <w:sz w:val="20"/>
                <w:szCs w:val="20"/>
              </w:rPr>
              <w:t>Disability community</w:t>
            </w:r>
            <w:r>
              <w:rPr>
                <w:rFonts w:cstheme="minorHAnsi"/>
                <w:sz w:val="20"/>
                <w:szCs w:val="20"/>
              </w:rPr>
              <w:t xml:space="preserve"> was</w:t>
            </w:r>
            <w:r w:rsidRPr="00582481">
              <w:rPr>
                <w:rFonts w:cstheme="minorHAnsi"/>
                <w:sz w:val="20"/>
                <w:szCs w:val="20"/>
              </w:rPr>
              <w:t xml:space="preserve"> consulted</w:t>
            </w:r>
          </w:p>
        </w:tc>
        <w:tc>
          <w:tcPr>
            <w:tcW w:w="1710" w:type="dxa"/>
          </w:tcPr>
          <w:p w14:paraId="36B80B66" w14:textId="77777777" w:rsidR="008B547F" w:rsidRPr="00582481" w:rsidRDefault="008B547F" w:rsidP="008B547F">
            <w:pPr>
              <w:rPr>
                <w:rFonts w:cstheme="minorHAnsi"/>
                <w:sz w:val="20"/>
                <w:szCs w:val="20"/>
              </w:rPr>
            </w:pPr>
            <w:r w:rsidRPr="00582481">
              <w:rPr>
                <w:rFonts w:cstheme="minorHAnsi"/>
                <w:sz w:val="20"/>
                <w:szCs w:val="20"/>
              </w:rPr>
              <w:t>1)</w:t>
            </w:r>
            <w:r>
              <w:rPr>
                <w:rFonts w:cstheme="minorHAnsi"/>
                <w:sz w:val="20"/>
                <w:szCs w:val="20"/>
              </w:rPr>
              <w:t xml:space="preserve"> </w:t>
            </w:r>
            <w:r w:rsidRPr="00582481">
              <w:rPr>
                <w:rFonts w:cstheme="minorHAnsi"/>
                <w:sz w:val="20"/>
                <w:szCs w:val="20"/>
              </w:rPr>
              <w:t xml:space="preserve">Income Supports 2) Access to government </w:t>
            </w:r>
          </w:p>
          <w:p w14:paraId="4D9A147B" w14:textId="77777777" w:rsidR="008B547F" w:rsidRPr="00582481" w:rsidRDefault="008B547F" w:rsidP="008B547F">
            <w:pPr>
              <w:rPr>
                <w:rFonts w:cstheme="minorHAnsi"/>
                <w:sz w:val="20"/>
                <w:szCs w:val="20"/>
              </w:rPr>
            </w:pPr>
            <w:r w:rsidRPr="00582481">
              <w:rPr>
                <w:rFonts w:cstheme="minorHAnsi"/>
                <w:sz w:val="20"/>
                <w:szCs w:val="20"/>
              </w:rPr>
              <w:t>3) Disability Supports</w:t>
            </w:r>
          </w:p>
          <w:p w14:paraId="2B109704" w14:textId="77777777" w:rsidR="008B547F" w:rsidRPr="00582481" w:rsidRDefault="008B547F" w:rsidP="008B547F">
            <w:pPr>
              <w:rPr>
                <w:rFonts w:cstheme="minorHAnsi"/>
                <w:sz w:val="20"/>
                <w:szCs w:val="20"/>
              </w:rPr>
            </w:pPr>
            <w:r w:rsidRPr="00582481">
              <w:rPr>
                <w:rFonts w:cstheme="minorHAnsi"/>
                <w:sz w:val="20"/>
                <w:szCs w:val="20"/>
              </w:rPr>
              <w:t>4) Employment</w:t>
            </w:r>
          </w:p>
          <w:p w14:paraId="367E303F" w14:textId="77777777" w:rsidR="008B547F" w:rsidRPr="00582481" w:rsidRDefault="008B547F" w:rsidP="008B547F">
            <w:pPr>
              <w:rPr>
                <w:rFonts w:cstheme="minorHAnsi"/>
                <w:sz w:val="20"/>
                <w:szCs w:val="20"/>
              </w:rPr>
            </w:pPr>
            <w:r>
              <w:rPr>
                <w:rFonts w:cstheme="minorHAnsi"/>
                <w:sz w:val="20"/>
                <w:szCs w:val="20"/>
              </w:rPr>
              <w:t xml:space="preserve">- </w:t>
            </w:r>
            <w:r w:rsidRPr="00582481">
              <w:rPr>
                <w:rFonts w:cstheme="minorHAnsi"/>
                <w:sz w:val="20"/>
                <w:szCs w:val="20"/>
              </w:rPr>
              <w:t>Special section on Action Plan for Aboriginals with disabilities (emphasis on cultural sensitivities)</w:t>
            </w:r>
          </w:p>
          <w:p w14:paraId="220DB8C8" w14:textId="77777777" w:rsidR="008B547F" w:rsidRPr="00582481" w:rsidRDefault="008B547F" w:rsidP="008B547F">
            <w:pPr>
              <w:rPr>
                <w:rFonts w:cstheme="minorHAnsi"/>
                <w:sz w:val="20"/>
                <w:szCs w:val="20"/>
              </w:rPr>
            </w:pPr>
            <w:r w:rsidRPr="00582481">
              <w:rPr>
                <w:rFonts w:cstheme="minorHAnsi"/>
                <w:sz w:val="20"/>
                <w:szCs w:val="20"/>
              </w:rPr>
              <w:t>- Accountability measures</w:t>
            </w:r>
          </w:p>
          <w:p w14:paraId="5A89EE9D" w14:textId="77777777" w:rsidR="008B547F" w:rsidRPr="00582481" w:rsidRDefault="008B547F" w:rsidP="008B547F">
            <w:pPr>
              <w:rPr>
                <w:rFonts w:cstheme="minorHAnsi"/>
                <w:sz w:val="20"/>
                <w:szCs w:val="20"/>
              </w:rPr>
            </w:pPr>
          </w:p>
        </w:tc>
        <w:tc>
          <w:tcPr>
            <w:tcW w:w="1890" w:type="dxa"/>
          </w:tcPr>
          <w:p w14:paraId="0376869C" w14:textId="77777777" w:rsidR="008B547F" w:rsidRPr="00582481" w:rsidRDefault="008B547F" w:rsidP="008B547F">
            <w:pPr>
              <w:rPr>
                <w:rFonts w:cstheme="minorHAnsi"/>
                <w:sz w:val="20"/>
                <w:szCs w:val="20"/>
              </w:rPr>
            </w:pPr>
            <w:r w:rsidRPr="00582481">
              <w:rPr>
                <w:rFonts w:cstheme="minorHAnsi"/>
                <w:sz w:val="20"/>
                <w:szCs w:val="20"/>
              </w:rPr>
              <w:t>-</w:t>
            </w:r>
            <w:r>
              <w:rPr>
                <w:rFonts w:cstheme="minorHAnsi"/>
                <w:sz w:val="20"/>
                <w:szCs w:val="20"/>
              </w:rPr>
              <w:t xml:space="preserve"> </w:t>
            </w:r>
            <w:r w:rsidRPr="00582481">
              <w:rPr>
                <w:rFonts w:cstheme="minorHAnsi"/>
                <w:sz w:val="20"/>
                <w:szCs w:val="20"/>
              </w:rPr>
              <w:t xml:space="preserve">31.3% of Aboriginal people are people with disabilities </w:t>
            </w:r>
          </w:p>
          <w:p w14:paraId="7516B9C1" w14:textId="77777777" w:rsidR="008B547F" w:rsidRPr="00582481" w:rsidRDefault="008B547F" w:rsidP="008B547F">
            <w:pPr>
              <w:rPr>
                <w:rFonts w:cstheme="minorHAnsi"/>
                <w:sz w:val="20"/>
                <w:szCs w:val="20"/>
              </w:rPr>
            </w:pPr>
            <w:r w:rsidRPr="00582481">
              <w:rPr>
                <w:rFonts w:cstheme="minorHAnsi"/>
                <w:sz w:val="20"/>
                <w:szCs w:val="20"/>
              </w:rPr>
              <w:t>-</w:t>
            </w:r>
            <w:r>
              <w:rPr>
                <w:rFonts w:cstheme="minorHAnsi"/>
                <w:sz w:val="20"/>
                <w:szCs w:val="20"/>
              </w:rPr>
              <w:t xml:space="preserve"> </w:t>
            </w:r>
            <w:r w:rsidRPr="00582481">
              <w:rPr>
                <w:rFonts w:cstheme="minorHAnsi"/>
                <w:sz w:val="20"/>
                <w:szCs w:val="20"/>
              </w:rPr>
              <w:t xml:space="preserve">Half of those with disabilities not in the workforce cite barriers and disincentives as the reason </w:t>
            </w:r>
          </w:p>
          <w:p w14:paraId="7893F405" w14:textId="03E10BF7" w:rsidR="008B547F" w:rsidRPr="00582481" w:rsidRDefault="008B547F" w:rsidP="008B547F">
            <w:pPr>
              <w:rPr>
                <w:rFonts w:cstheme="minorHAnsi"/>
                <w:sz w:val="20"/>
                <w:szCs w:val="20"/>
              </w:rPr>
            </w:pPr>
            <w:r w:rsidRPr="00582481">
              <w:rPr>
                <w:rFonts w:cstheme="minorHAnsi"/>
                <w:sz w:val="20"/>
                <w:szCs w:val="20"/>
              </w:rPr>
              <w:t xml:space="preserve">-Recommendations </w:t>
            </w:r>
            <w:proofErr w:type="gramStart"/>
            <w:r w:rsidRPr="00582481">
              <w:rPr>
                <w:rFonts w:cstheme="minorHAnsi"/>
                <w:sz w:val="20"/>
                <w:szCs w:val="20"/>
              </w:rPr>
              <w:t>include:</w:t>
            </w:r>
            <w:proofErr w:type="gramEnd"/>
            <w:r w:rsidRPr="00582481">
              <w:rPr>
                <w:rFonts w:cstheme="minorHAnsi"/>
                <w:sz w:val="20"/>
                <w:szCs w:val="20"/>
              </w:rPr>
              <w:t xml:space="preserve"> improving access to government buildings, services, publications, public meetings and hearings, government employment and policy making; redefine disability; remove disincentives to employment in income programs, separate access to disability supports from eligibility for financial assistance; ensure financial assistance is quickly available</w:t>
            </w:r>
          </w:p>
        </w:tc>
        <w:tc>
          <w:tcPr>
            <w:tcW w:w="1620" w:type="dxa"/>
          </w:tcPr>
          <w:p w14:paraId="5F054EBD" w14:textId="6B94B71A" w:rsidR="008B547F" w:rsidRPr="00582481" w:rsidRDefault="008B547F" w:rsidP="008B547F">
            <w:pPr>
              <w:rPr>
                <w:rFonts w:cstheme="minorHAnsi"/>
                <w:sz w:val="20"/>
                <w:szCs w:val="20"/>
              </w:rPr>
            </w:pPr>
            <w:r w:rsidRPr="00582481">
              <w:rPr>
                <w:rFonts w:cstheme="minorHAnsi"/>
                <w:sz w:val="20"/>
                <w:szCs w:val="20"/>
              </w:rPr>
              <w:t xml:space="preserve">Include section on aboriginal people with disabilities; section on accountability </w:t>
            </w:r>
          </w:p>
        </w:tc>
        <w:tc>
          <w:tcPr>
            <w:tcW w:w="1800" w:type="dxa"/>
          </w:tcPr>
          <w:p w14:paraId="69AA8A4A" w14:textId="43415F60" w:rsidR="008B547F" w:rsidRPr="00582481" w:rsidRDefault="008B547F" w:rsidP="008B547F">
            <w:pPr>
              <w:rPr>
                <w:rFonts w:cstheme="minorHAnsi"/>
                <w:sz w:val="20"/>
                <w:szCs w:val="20"/>
              </w:rPr>
            </w:pPr>
            <w:r w:rsidRPr="00582481">
              <w:rPr>
                <w:rFonts w:cstheme="minorHAnsi"/>
                <w:sz w:val="20"/>
                <w:szCs w:val="20"/>
              </w:rPr>
              <w:t>In implementation</w:t>
            </w:r>
            <w:r>
              <w:rPr>
                <w:rFonts w:cstheme="minorHAnsi"/>
                <w:sz w:val="20"/>
                <w:szCs w:val="20"/>
              </w:rPr>
              <w:t xml:space="preserve">. Notes: </w:t>
            </w:r>
            <w:r w:rsidRPr="00582481">
              <w:rPr>
                <w:rFonts w:cstheme="minorHAnsi"/>
                <w:sz w:val="20"/>
                <w:szCs w:val="20"/>
              </w:rPr>
              <w:t>The “Action Plan” sections are a handy reference</w:t>
            </w:r>
          </w:p>
        </w:tc>
      </w:tr>
      <w:tr w:rsidR="008B547F" w:rsidRPr="00582481" w14:paraId="6737571D" w14:textId="77777777" w:rsidTr="008B547F">
        <w:trPr>
          <w:trHeight w:val="2267"/>
        </w:trPr>
        <w:tc>
          <w:tcPr>
            <w:tcW w:w="1353" w:type="dxa"/>
          </w:tcPr>
          <w:p w14:paraId="0796903B" w14:textId="3F4ABA55" w:rsidR="008B547F" w:rsidRPr="000B12DA" w:rsidRDefault="008B547F" w:rsidP="008B547F">
            <w:pPr>
              <w:rPr>
                <w:rStyle w:val="Heading3Char"/>
                <w:rFonts w:asciiTheme="minorHAnsi" w:hAnsiTheme="minorHAnsi" w:cstheme="minorHAnsi"/>
                <w:b/>
                <w:bCs/>
                <w:color w:val="auto"/>
              </w:rPr>
            </w:pPr>
            <w:r w:rsidRPr="000B12DA">
              <w:rPr>
                <w:rStyle w:val="Heading3Char"/>
                <w:rFonts w:asciiTheme="minorHAnsi" w:hAnsiTheme="minorHAnsi" w:cstheme="minorHAnsi"/>
                <w:b/>
                <w:bCs/>
                <w:color w:val="auto"/>
              </w:rPr>
              <w:lastRenderedPageBreak/>
              <w:t>Ontario</w:t>
            </w:r>
            <w:r w:rsidRPr="00582481">
              <w:rPr>
                <w:rFonts w:cstheme="minorHAnsi"/>
                <w:sz w:val="20"/>
                <w:szCs w:val="20"/>
              </w:rPr>
              <w:t xml:space="preserve"> (prepared on June 20, 2017 by Minister Tracy </w:t>
            </w:r>
            <w:proofErr w:type="spellStart"/>
            <w:r w:rsidRPr="00582481">
              <w:rPr>
                <w:rFonts w:cstheme="minorHAnsi"/>
                <w:sz w:val="20"/>
                <w:szCs w:val="20"/>
              </w:rPr>
              <w:t>MacCharles</w:t>
            </w:r>
            <w:proofErr w:type="spellEnd"/>
            <w:r w:rsidRPr="00582481">
              <w:rPr>
                <w:rFonts w:cstheme="minorHAnsi"/>
                <w:sz w:val="20"/>
                <w:szCs w:val="20"/>
              </w:rPr>
              <w:t>, Minister Responsible for Accessibility)</w:t>
            </w:r>
          </w:p>
        </w:tc>
        <w:tc>
          <w:tcPr>
            <w:tcW w:w="1800" w:type="dxa"/>
          </w:tcPr>
          <w:p w14:paraId="3627D0CC" w14:textId="30DB226D" w:rsidR="008B547F" w:rsidRPr="008B547F" w:rsidRDefault="008B547F" w:rsidP="008B547F">
            <w:pPr>
              <w:pStyle w:val="Heading4"/>
              <w:rPr>
                <w:rFonts w:asciiTheme="minorHAnsi" w:hAnsiTheme="minorHAnsi" w:cstheme="minorHAnsi"/>
                <w:b/>
                <w:bCs/>
                <w:i w:val="0"/>
                <w:iCs w:val="0"/>
                <w:color w:val="auto"/>
              </w:rPr>
            </w:pPr>
            <w:r w:rsidRPr="008B547F">
              <w:rPr>
                <w:rFonts w:asciiTheme="minorHAnsi" w:hAnsiTheme="minorHAnsi" w:cstheme="minorHAnsi"/>
                <w:b/>
                <w:bCs/>
                <w:i w:val="0"/>
                <w:iCs w:val="0"/>
                <w:color w:val="auto"/>
              </w:rPr>
              <w:t>Access Talent: Ontario’s Employment Strategy for People with Disabilities</w:t>
            </w:r>
          </w:p>
        </w:tc>
        <w:tc>
          <w:tcPr>
            <w:tcW w:w="2430" w:type="dxa"/>
          </w:tcPr>
          <w:p w14:paraId="3081DFC7" w14:textId="61C47761" w:rsidR="008B547F" w:rsidRPr="00582481" w:rsidRDefault="008B547F" w:rsidP="008B547F">
            <w:pPr>
              <w:rPr>
                <w:rFonts w:cstheme="minorHAnsi"/>
                <w:sz w:val="20"/>
                <w:szCs w:val="20"/>
              </w:rPr>
            </w:pPr>
            <w:r w:rsidRPr="00582481">
              <w:rPr>
                <w:rFonts w:cstheme="minorHAnsi"/>
                <w:sz w:val="20"/>
                <w:szCs w:val="20"/>
              </w:rPr>
              <w:t>High unemployment rate for people with disabilities, even though most people with disabilities want to work and are capable of working. Views Ontario as a leader and builds upon previously constructed strategies through four pillars. Concludes with a general call to action for employers with more than 20 employees to hire one person with a disability (creating 56,000 new jobs)</w:t>
            </w:r>
          </w:p>
        </w:tc>
        <w:tc>
          <w:tcPr>
            <w:tcW w:w="1890" w:type="dxa"/>
          </w:tcPr>
          <w:p w14:paraId="49249E87" w14:textId="77777777" w:rsidR="008B547F" w:rsidRPr="00582481" w:rsidRDefault="008B547F" w:rsidP="008B547F">
            <w:pPr>
              <w:rPr>
                <w:rFonts w:cstheme="minorHAnsi"/>
                <w:sz w:val="20"/>
                <w:szCs w:val="20"/>
              </w:rPr>
            </w:pPr>
            <w:r w:rsidRPr="00582481">
              <w:rPr>
                <w:rFonts w:cstheme="minorHAnsi"/>
                <w:sz w:val="20"/>
                <w:szCs w:val="20"/>
              </w:rPr>
              <w:t>Built on multiple initiatives: Partnership Council on Employment Opportunities for People with Disabilities, the</w:t>
            </w:r>
          </w:p>
          <w:p w14:paraId="1CE2762A" w14:textId="77777777" w:rsidR="008B547F" w:rsidRPr="00582481" w:rsidRDefault="008B547F" w:rsidP="008B547F">
            <w:pPr>
              <w:rPr>
                <w:rFonts w:cstheme="minorHAnsi"/>
                <w:sz w:val="20"/>
                <w:szCs w:val="20"/>
              </w:rPr>
            </w:pPr>
            <w:r w:rsidRPr="00582481">
              <w:rPr>
                <w:rFonts w:cstheme="minorHAnsi"/>
                <w:sz w:val="20"/>
                <w:szCs w:val="20"/>
              </w:rPr>
              <w:t>Highly Skilled Workforce Strategy, and</w:t>
            </w:r>
          </w:p>
          <w:p w14:paraId="01729B94" w14:textId="36DBE9EC" w:rsidR="008B547F" w:rsidRPr="00582481" w:rsidRDefault="008B547F" w:rsidP="008B547F">
            <w:pPr>
              <w:rPr>
                <w:rFonts w:cstheme="minorHAnsi"/>
                <w:sz w:val="20"/>
                <w:szCs w:val="20"/>
              </w:rPr>
            </w:pPr>
            <w:r w:rsidRPr="00582481">
              <w:rPr>
                <w:rFonts w:cstheme="minorHAnsi"/>
                <w:sz w:val="20"/>
                <w:szCs w:val="20"/>
              </w:rPr>
              <w:t>the Mental Health and Addictions Strategy’, public consultations</w:t>
            </w:r>
          </w:p>
        </w:tc>
        <w:tc>
          <w:tcPr>
            <w:tcW w:w="1710" w:type="dxa"/>
          </w:tcPr>
          <w:p w14:paraId="2DA9D335" w14:textId="77777777" w:rsidR="008B547F" w:rsidRPr="00582481" w:rsidRDefault="008B547F" w:rsidP="008B547F">
            <w:pPr>
              <w:rPr>
                <w:rFonts w:cstheme="minorHAnsi"/>
                <w:sz w:val="20"/>
                <w:szCs w:val="20"/>
              </w:rPr>
            </w:pPr>
            <w:r w:rsidRPr="00582481">
              <w:rPr>
                <w:rFonts w:cstheme="minorHAnsi"/>
                <w:sz w:val="20"/>
                <w:szCs w:val="20"/>
              </w:rPr>
              <w:t>Includes vision, guiding principles, and four pillars: 1) Start early, 2) Engage,</w:t>
            </w:r>
          </w:p>
          <w:p w14:paraId="24C73EC8" w14:textId="6718753D" w:rsidR="008B547F" w:rsidRPr="00582481" w:rsidRDefault="008B547F" w:rsidP="008B547F">
            <w:pPr>
              <w:rPr>
                <w:rFonts w:cstheme="minorHAnsi"/>
                <w:sz w:val="20"/>
                <w:szCs w:val="20"/>
              </w:rPr>
            </w:pPr>
            <w:r w:rsidRPr="00582481">
              <w:rPr>
                <w:rFonts w:cstheme="minorHAnsi"/>
                <w:sz w:val="20"/>
                <w:szCs w:val="20"/>
              </w:rPr>
              <w:t>3)Integrate, 4) Trail blaze.</w:t>
            </w:r>
          </w:p>
        </w:tc>
        <w:tc>
          <w:tcPr>
            <w:tcW w:w="1890" w:type="dxa"/>
          </w:tcPr>
          <w:p w14:paraId="30568EF6" w14:textId="77777777" w:rsidR="008B547F" w:rsidRPr="00582481" w:rsidRDefault="008B547F" w:rsidP="008B547F">
            <w:pPr>
              <w:rPr>
                <w:rFonts w:cstheme="minorHAnsi"/>
                <w:sz w:val="20"/>
                <w:szCs w:val="20"/>
              </w:rPr>
            </w:pPr>
            <w:r w:rsidRPr="00582481">
              <w:rPr>
                <w:rFonts w:cstheme="minorHAnsi"/>
                <w:sz w:val="20"/>
                <w:szCs w:val="20"/>
              </w:rPr>
              <w:t>Each pillar contains 5-6 general action items focused on youth with disabilities (pillar #1) designed to promote dialogue and raise awareness overall.</w:t>
            </w:r>
          </w:p>
          <w:p w14:paraId="03B73921" w14:textId="77777777" w:rsidR="008B547F" w:rsidRPr="00582481" w:rsidRDefault="008B547F" w:rsidP="008B547F">
            <w:pPr>
              <w:rPr>
                <w:rFonts w:cstheme="minorHAnsi"/>
                <w:sz w:val="20"/>
                <w:szCs w:val="20"/>
              </w:rPr>
            </w:pPr>
            <w:r w:rsidRPr="00582481">
              <w:rPr>
                <w:rFonts w:cstheme="minorHAnsi"/>
                <w:sz w:val="20"/>
                <w:szCs w:val="20"/>
              </w:rPr>
              <w:t xml:space="preserve">-Unemployment rate for people with disabilities is about 16% </w:t>
            </w:r>
          </w:p>
          <w:p w14:paraId="27175E96" w14:textId="77777777" w:rsidR="008B547F" w:rsidRPr="00582481" w:rsidRDefault="008B547F" w:rsidP="008B547F">
            <w:pPr>
              <w:rPr>
                <w:rFonts w:cstheme="minorHAnsi"/>
                <w:sz w:val="20"/>
                <w:szCs w:val="20"/>
              </w:rPr>
            </w:pPr>
            <w:r w:rsidRPr="00582481">
              <w:rPr>
                <w:rFonts w:cstheme="minorHAnsi"/>
                <w:sz w:val="20"/>
                <w:szCs w:val="20"/>
              </w:rPr>
              <w:t>-86% of people with disabilities rate average or better on attendance,</w:t>
            </w:r>
          </w:p>
          <w:p w14:paraId="469471CA" w14:textId="77777777" w:rsidR="008B547F" w:rsidRPr="00582481" w:rsidRDefault="008B547F" w:rsidP="008B547F">
            <w:pPr>
              <w:rPr>
                <w:rFonts w:cstheme="minorHAnsi"/>
                <w:sz w:val="20"/>
                <w:szCs w:val="20"/>
              </w:rPr>
            </w:pPr>
            <w:r w:rsidRPr="00582481">
              <w:rPr>
                <w:rFonts w:cstheme="minorHAnsi"/>
                <w:sz w:val="20"/>
                <w:szCs w:val="20"/>
              </w:rPr>
              <w:t xml:space="preserve">98% average or better in work safety </w:t>
            </w:r>
          </w:p>
          <w:p w14:paraId="47DE2F4B" w14:textId="77777777" w:rsidR="008B547F" w:rsidRPr="00582481" w:rsidRDefault="008B547F" w:rsidP="008B547F">
            <w:pPr>
              <w:rPr>
                <w:rFonts w:cstheme="minorHAnsi"/>
                <w:sz w:val="20"/>
                <w:szCs w:val="20"/>
              </w:rPr>
            </w:pPr>
            <w:r w:rsidRPr="00582481">
              <w:rPr>
                <w:rFonts w:cstheme="minorHAnsi"/>
                <w:sz w:val="20"/>
                <w:szCs w:val="20"/>
              </w:rPr>
              <w:t xml:space="preserve">-Job turnover among people with disabilities is 20% of the rate of other employees. </w:t>
            </w:r>
          </w:p>
          <w:p w14:paraId="0AC0331C" w14:textId="31C93314" w:rsidR="008B547F" w:rsidRPr="00582481" w:rsidRDefault="008B547F" w:rsidP="008B547F">
            <w:pPr>
              <w:rPr>
                <w:rFonts w:cstheme="minorHAnsi"/>
                <w:sz w:val="20"/>
                <w:szCs w:val="20"/>
              </w:rPr>
            </w:pPr>
            <w:r w:rsidRPr="00582481">
              <w:rPr>
                <w:rFonts w:cstheme="minorHAnsi"/>
                <w:sz w:val="20"/>
                <w:szCs w:val="20"/>
              </w:rPr>
              <w:t>- 60,000 people with disabilities aged 18 to 29 receive assistance through the Ontario Disability Support Program</w:t>
            </w:r>
          </w:p>
        </w:tc>
        <w:tc>
          <w:tcPr>
            <w:tcW w:w="1620" w:type="dxa"/>
          </w:tcPr>
          <w:p w14:paraId="0A757DD9" w14:textId="0EB95026" w:rsidR="008B547F" w:rsidRPr="00582481" w:rsidRDefault="008B547F" w:rsidP="008B547F">
            <w:pPr>
              <w:rPr>
                <w:rFonts w:cstheme="minorHAnsi"/>
                <w:sz w:val="20"/>
                <w:szCs w:val="20"/>
              </w:rPr>
            </w:pPr>
            <w:r w:rsidRPr="00582481">
              <w:rPr>
                <w:rFonts w:cstheme="minorHAnsi"/>
                <w:sz w:val="20"/>
                <w:szCs w:val="20"/>
              </w:rPr>
              <w:t>Provincial pillars should be included in National Strategy to avoid confusion and redundancy</w:t>
            </w:r>
          </w:p>
        </w:tc>
        <w:tc>
          <w:tcPr>
            <w:tcW w:w="1800" w:type="dxa"/>
          </w:tcPr>
          <w:p w14:paraId="5869A04C" w14:textId="76447906" w:rsidR="008B547F" w:rsidRPr="00582481" w:rsidRDefault="008B547F" w:rsidP="008B547F">
            <w:pPr>
              <w:rPr>
                <w:rFonts w:cstheme="minorHAnsi"/>
                <w:sz w:val="20"/>
                <w:szCs w:val="20"/>
              </w:rPr>
            </w:pPr>
            <w:r w:rsidRPr="00582481">
              <w:rPr>
                <w:rFonts w:cstheme="minorHAnsi"/>
                <w:sz w:val="20"/>
                <w:szCs w:val="20"/>
              </w:rPr>
              <w:t>In implementation (Employers Partnership Table announced on September 27, 2017)</w:t>
            </w:r>
            <w:r>
              <w:rPr>
                <w:rFonts w:cstheme="minorHAnsi"/>
                <w:sz w:val="20"/>
                <w:szCs w:val="20"/>
              </w:rPr>
              <w:t xml:space="preserve">. Notes: </w:t>
            </w:r>
            <w:r w:rsidRPr="00582481">
              <w:rPr>
                <w:rFonts w:cstheme="minorHAnsi"/>
                <w:sz w:val="20"/>
                <w:szCs w:val="20"/>
              </w:rPr>
              <w:t>Strategy lacks deadlines or targets, overt focus on youth with disabilities (and disregard for older workers with disabilities); strategy relies heavily on Partnership Council on Employment Opportunities for People with Disabilities (good resource)</w:t>
            </w:r>
          </w:p>
        </w:tc>
      </w:tr>
      <w:tr w:rsidR="008B547F" w:rsidRPr="00582481" w14:paraId="56736235" w14:textId="77777777" w:rsidTr="008B547F">
        <w:trPr>
          <w:trHeight w:val="2267"/>
        </w:trPr>
        <w:tc>
          <w:tcPr>
            <w:tcW w:w="1353" w:type="dxa"/>
          </w:tcPr>
          <w:p w14:paraId="4161F0F6" w14:textId="55355A88" w:rsidR="008B547F" w:rsidRPr="000B12DA" w:rsidRDefault="008B547F" w:rsidP="008B547F">
            <w:pPr>
              <w:rPr>
                <w:rStyle w:val="Heading3Char"/>
                <w:rFonts w:asciiTheme="minorHAnsi" w:hAnsiTheme="minorHAnsi" w:cstheme="minorHAnsi"/>
                <w:b/>
                <w:bCs/>
                <w:color w:val="auto"/>
              </w:rPr>
            </w:pPr>
            <w:r w:rsidRPr="000B12DA">
              <w:rPr>
                <w:rStyle w:val="Heading3Char"/>
                <w:rFonts w:asciiTheme="minorHAnsi" w:hAnsiTheme="minorHAnsi" w:cstheme="minorHAnsi"/>
                <w:b/>
                <w:bCs/>
                <w:color w:val="auto"/>
              </w:rPr>
              <w:lastRenderedPageBreak/>
              <w:t xml:space="preserve">Quebec </w:t>
            </w:r>
            <w:r w:rsidRPr="00582481">
              <w:rPr>
                <w:rFonts w:cstheme="minorHAnsi"/>
                <w:sz w:val="20"/>
                <w:szCs w:val="20"/>
              </w:rPr>
              <w:t>(prepared in 2008 by the Government of Quebec)</w:t>
            </w:r>
          </w:p>
        </w:tc>
        <w:tc>
          <w:tcPr>
            <w:tcW w:w="1800" w:type="dxa"/>
          </w:tcPr>
          <w:p w14:paraId="6565D539" w14:textId="7ADEF0EA" w:rsidR="008B547F" w:rsidRPr="008B547F" w:rsidRDefault="008B547F" w:rsidP="008B547F">
            <w:pPr>
              <w:pStyle w:val="Heading4"/>
              <w:rPr>
                <w:rFonts w:asciiTheme="minorHAnsi" w:hAnsiTheme="minorHAnsi" w:cstheme="minorHAnsi"/>
                <w:b/>
                <w:bCs/>
                <w:i w:val="0"/>
                <w:iCs w:val="0"/>
                <w:color w:val="auto"/>
              </w:rPr>
            </w:pPr>
            <w:r w:rsidRPr="008B547F">
              <w:rPr>
                <w:rFonts w:asciiTheme="minorHAnsi" w:hAnsiTheme="minorHAnsi" w:cstheme="minorHAnsi"/>
                <w:b/>
                <w:bCs/>
                <w:i w:val="0"/>
                <w:iCs w:val="0"/>
                <w:color w:val="auto"/>
              </w:rPr>
              <w:t>For Equal Employment Opportunities: National Strategy for Labour Market Integration and Retention of Persons with Disabilities</w:t>
            </w:r>
          </w:p>
        </w:tc>
        <w:tc>
          <w:tcPr>
            <w:tcW w:w="2430" w:type="dxa"/>
          </w:tcPr>
          <w:p w14:paraId="55CD3538" w14:textId="77777777" w:rsidR="008B547F" w:rsidRPr="00582481" w:rsidRDefault="008B547F" w:rsidP="008B547F">
            <w:pPr>
              <w:rPr>
                <w:rFonts w:cstheme="minorHAnsi"/>
                <w:sz w:val="20"/>
                <w:szCs w:val="20"/>
              </w:rPr>
            </w:pPr>
            <w:r>
              <w:rPr>
                <w:rFonts w:cstheme="minorHAnsi"/>
                <w:sz w:val="20"/>
                <w:szCs w:val="20"/>
              </w:rPr>
              <w:t>A</w:t>
            </w:r>
            <w:r w:rsidRPr="00582481">
              <w:rPr>
                <w:rFonts w:cstheme="minorHAnsi"/>
                <w:sz w:val="20"/>
                <w:szCs w:val="20"/>
              </w:rPr>
              <w:t xml:space="preserve">ctively promote greater labour market participation by </w:t>
            </w:r>
            <w:r>
              <w:rPr>
                <w:rFonts w:cstheme="minorHAnsi"/>
                <w:sz w:val="20"/>
                <w:szCs w:val="20"/>
              </w:rPr>
              <w:t>persons with disabilities</w:t>
            </w:r>
            <w:r w:rsidRPr="00582481">
              <w:rPr>
                <w:rFonts w:cstheme="minorHAnsi"/>
                <w:sz w:val="20"/>
                <w:szCs w:val="20"/>
              </w:rPr>
              <w:t>, both from government and labour market stakeholders.</w:t>
            </w:r>
          </w:p>
          <w:p w14:paraId="3C7F9B0E" w14:textId="77777777" w:rsidR="008B547F" w:rsidRPr="00582481" w:rsidRDefault="008B547F" w:rsidP="008B547F">
            <w:pPr>
              <w:rPr>
                <w:rFonts w:cstheme="minorHAnsi"/>
                <w:sz w:val="20"/>
                <w:szCs w:val="20"/>
              </w:rPr>
            </w:pPr>
            <w:r w:rsidRPr="00582481">
              <w:rPr>
                <w:rFonts w:cstheme="minorHAnsi"/>
                <w:sz w:val="20"/>
                <w:szCs w:val="20"/>
              </w:rPr>
              <w:t xml:space="preserve">Guiding Principles: </w:t>
            </w:r>
          </w:p>
          <w:p w14:paraId="066C4FA4" w14:textId="77777777" w:rsidR="008B547F" w:rsidRPr="00582481" w:rsidRDefault="008B547F" w:rsidP="008B547F">
            <w:pPr>
              <w:rPr>
                <w:rFonts w:cstheme="minorHAnsi"/>
                <w:sz w:val="20"/>
                <w:szCs w:val="20"/>
              </w:rPr>
            </w:pPr>
            <w:r w:rsidRPr="00582481">
              <w:rPr>
                <w:rFonts w:cstheme="minorHAnsi"/>
                <w:sz w:val="20"/>
                <w:szCs w:val="20"/>
              </w:rPr>
              <w:t xml:space="preserve">- Integrating people into the labour market an investment in human capital and a source of savings for Quebec </w:t>
            </w:r>
          </w:p>
          <w:p w14:paraId="0437FB1B" w14:textId="77777777" w:rsidR="008B547F" w:rsidRPr="00582481" w:rsidRDefault="008B547F" w:rsidP="008B547F">
            <w:pPr>
              <w:rPr>
                <w:rFonts w:cstheme="minorHAnsi"/>
                <w:sz w:val="20"/>
                <w:szCs w:val="20"/>
              </w:rPr>
            </w:pPr>
            <w:r w:rsidRPr="00582481">
              <w:rPr>
                <w:rFonts w:cstheme="minorHAnsi"/>
                <w:sz w:val="20"/>
                <w:szCs w:val="20"/>
              </w:rPr>
              <w:t xml:space="preserve">- Choice of an inclusive approach </w:t>
            </w:r>
          </w:p>
          <w:p w14:paraId="72A8FAF2" w14:textId="77777777" w:rsidR="008B547F" w:rsidRPr="00582481" w:rsidRDefault="008B547F" w:rsidP="008B547F">
            <w:pPr>
              <w:rPr>
                <w:rFonts w:cstheme="minorHAnsi"/>
                <w:sz w:val="20"/>
                <w:szCs w:val="20"/>
              </w:rPr>
            </w:pPr>
            <w:r w:rsidRPr="00582481">
              <w:rPr>
                <w:rFonts w:cstheme="minorHAnsi"/>
                <w:sz w:val="20"/>
                <w:szCs w:val="20"/>
              </w:rPr>
              <w:t xml:space="preserve">- Deployment of gender-specific approaches </w:t>
            </w:r>
          </w:p>
          <w:p w14:paraId="57B00256" w14:textId="77777777" w:rsidR="008B547F" w:rsidRPr="00582481" w:rsidRDefault="008B547F" w:rsidP="008B547F">
            <w:pPr>
              <w:rPr>
                <w:rFonts w:cstheme="minorHAnsi"/>
                <w:sz w:val="20"/>
                <w:szCs w:val="20"/>
              </w:rPr>
            </w:pPr>
            <w:r w:rsidRPr="00582481">
              <w:rPr>
                <w:rFonts w:cstheme="minorHAnsi"/>
                <w:sz w:val="20"/>
                <w:szCs w:val="20"/>
              </w:rPr>
              <w:t xml:space="preserve">- Flexible development and deployment of efforts </w:t>
            </w:r>
          </w:p>
          <w:p w14:paraId="165670CA" w14:textId="77777777" w:rsidR="008B547F" w:rsidRPr="00582481" w:rsidRDefault="008B547F" w:rsidP="008B547F">
            <w:pPr>
              <w:rPr>
                <w:rFonts w:cstheme="minorHAnsi"/>
                <w:sz w:val="20"/>
                <w:szCs w:val="20"/>
              </w:rPr>
            </w:pPr>
            <w:r w:rsidRPr="00582481">
              <w:rPr>
                <w:rFonts w:cstheme="minorHAnsi"/>
                <w:sz w:val="20"/>
                <w:szCs w:val="20"/>
              </w:rPr>
              <w:t xml:space="preserve">– </w:t>
            </w:r>
            <w:r>
              <w:rPr>
                <w:rFonts w:cstheme="minorHAnsi"/>
                <w:sz w:val="20"/>
                <w:szCs w:val="20"/>
              </w:rPr>
              <w:t>S</w:t>
            </w:r>
            <w:r w:rsidRPr="00582481">
              <w:rPr>
                <w:rFonts w:cstheme="minorHAnsi"/>
                <w:sz w:val="20"/>
                <w:szCs w:val="20"/>
              </w:rPr>
              <w:t xml:space="preserve">ingle solution is not adequate </w:t>
            </w:r>
          </w:p>
          <w:p w14:paraId="0D31BD2B" w14:textId="77777777" w:rsidR="008B547F" w:rsidRPr="00582481" w:rsidRDefault="008B547F" w:rsidP="008B547F">
            <w:pPr>
              <w:rPr>
                <w:rFonts w:cstheme="minorHAnsi"/>
                <w:sz w:val="20"/>
                <w:szCs w:val="20"/>
              </w:rPr>
            </w:pPr>
            <w:r w:rsidRPr="00582481">
              <w:rPr>
                <w:rFonts w:cstheme="minorHAnsi"/>
                <w:sz w:val="20"/>
                <w:szCs w:val="20"/>
              </w:rPr>
              <w:t xml:space="preserve">- Participation of </w:t>
            </w:r>
            <w:r>
              <w:rPr>
                <w:rFonts w:cstheme="minorHAnsi"/>
                <w:sz w:val="20"/>
                <w:szCs w:val="20"/>
              </w:rPr>
              <w:t>persons with disabilities</w:t>
            </w:r>
            <w:r w:rsidRPr="00582481">
              <w:rPr>
                <w:rFonts w:cstheme="minorHAnsi"/>
                <w:sz w:val="20"/>
                <w:szCs w:val="20"/>
              </w:rPr>
              <w:t xml:space="preserve"> or their representatives in developing and deploying projects </w:t>
            </w:r>
          </w:p>
          <w:p w14:paraId="0EB1CCF8" w14:textId="4832CE8C" w:rsidR="008B547F" w:rsidRPr="00582481" w:rsidRDefault="008B547F" w:rsidP="008B547F">
            <w:pPr>
              <w:rPr>
                <w:rFonts w:cstheme="minorHAnsi"/>
                <w:sz w:val="20"/>
                <w:szCs w:val="20"/>
              </w:rPr>
            </w:pPr>
            <w:r w:rsidRPr="00582481">
              <w:rPr>
                <w:rFonts w:cstheme="minorHAnsi"/>
                <w:sz w:val="20"/>
                <w:szCs w:val="20"/>
              </w:rPr>
              <w:t>- Personal responsibility of p</w:t>
            </w:r>
            <w:r>
              <w:rPr>
                <w:rFonts w:cstheme="minorHAnsi"/>
                <w:sz w:val="20"/>
                <w:szCs w:val="20"/>
              </w:rPr>
              <w:t>ersons</w:t>
            </w:r>
            <w:r w:rsidRPr="00582481">
              <w:rPr>
                <w:rFonts w:cstheme="minorHAnsi"/>
                <w:sz w:val="20"/>
                <w:szCs w:val="20"/>
              </w:rPr>
              <w:t xml:space="preserve"> with </w:t>
            </w:r>
            <w:r>
              <w:rPr>
                <w:rFonts w:cstheme="minorHAnsi"/>
                <w:sz w:val="20"/>
                <w:szCs w:val="20"/>
              </w:rPr>
              <w:t>disabilities</w:t>
            </w:r>
            <w:r w:rsidRPr="00582481">
              <w:rPr>
                <w:rFonts w:cstheme="minorHAnsi"/>
                <w:sz w:val="20"/>
                <w:szCs w:val="20"/>
              </w:rPr>
              <w:t xml:space="preserve"> with respect to entering and remaining in the labour market </w:t>
            </w:r>
          </w:p>
        </w:tc>
        <w:tc>
          <w:tcPr>
            <w:tcW w:w="1890" w:type="dxa"/>
          </w:tcPr>
          <w:p w14:paraId="602AA5FA" w14:textId="77777777" w:rsidR="008B547F" w:rsidRPr="00582481" w:rsidRDefault="008B547F" w:rsidP="008B547F">
            <w:pPr>
              <w:rPr>
                <w:rFonts w:cstheme="minorHAnsi"/>
                <w:sz w:val="20"/>
                <w:szCs w:val="20"/>
              </w:rPr>
            </w:pPr>
            <w:r w:rsidRPr="00582481">
              <w:rPr>
                <w:rFonts w:cstheme="minorHAnsi"/>
                <w:sz w:val="20"/>
                <w:szCs w:val="20"/>
              </w:rPr>
              <w:t xml:space="preserve">Government consulted representatives of associations, employers, trade unions, and 12 government departments and agencies across 6 regions coordinated by the </w:t>
            </w:r>
          </w:p>
          <w:p w14:paraId="5610F0BA" w14:textId="5F2E4ED8" w:rsidR="008B547F" w:rsidRPr="00582481" w:rsidRDefault="008B547F" w:rsidP="008B547F">
            <w:pPr>
              <w:rPr>
                <w:rFonts w:cstheme="minorHAnsi"/>
                <w:sz w:val="20"/>
                <w:szCs w:val="20"/>
              </w:rPr>
            </w:pPr>
            <w:r w:rsidRPr="00582481">
              <w:rPr>
                <w:rFonts w:cstheme="minorHAnsi"/>
                <w:sz w:val="20"/>
                <w:szCs w:val="20"/>
              </w:rPr>
              <w:t>Ministry of Work and Social Solidarity, and invited the Commission of Partners of the Labour Market to identify a unifying objective</w:t>
            </w:r>
          </w:p>
        </w:tc>
        <w:tc>
          <w:tcPr>
            <w:tcW w:w="1710" w:type="dxa"/>
          </w:tcPr>
          <w:p w14:paraId="0E93AB4F" w14:textId="77777777" w:rsidR="008B547F" w:rsidRDefault="008B547F" w:rsidP="008B547F">
            <w:pPr>
              <w:rPr>
                <w:rFonts w:cstheme="minorHAnsi"/>
                <w:sz w:val="20"/>
                <w:szCs w:val="20"/>
              </w:rPr>
            </w:pPr>
            <w:r w:rsidRPr="00582481">
              <w:rPr>
                <w:rFonts w:cstheme="minorHAnsi"/>
                <w:sz w:val="20"/>
                <w:szCs w:val="20"/>
              </w:rPr>
              <w:t>Key points</w:t>
            </w:r>
            <w:r>
              <w:rPr>
                <w:rFonts w:cstheme="minorHAnsi"/>
                <w:sz w:val="20"/>
                <w:szCs w:val="20"/>
              </w:rPr>
              <w:t>:</w:t>
            </w:r>
          </w:p>
          <w:p w14:paraId="521FAC52" w14:textId="77777777" w:rsidR="008B547F" w:rsidRDefault="008B547F" w:rsidP="008B547F">
            <w:pPr>
              <w:rPr>
                <w:rFonts w:cstheme="minorHAnsi"/>
                <w:sz w:val="20"/>
                <w:szCs w:val="20"/>
              </w:rPr>
            </w:pPr>
            <w:r>
              <w:rPr>
                <w:rFonts w:cstheme="minorHAnsi"/>
                <w:sz w:val="20"/>
                <w:szCs w:val="20"/>
              </w:rPr>
              <w:t xml:space="preserve">- </w:t>
            </w:r>
            <w:r w:rsidRPr="00582481">
              <w:rPr>
                <w:rFonts w:cstheme="minorHAnsi"/>
                <w:sz w:val="20"/>
                <w:szCs w:val="20"/>
              </w:rPr>
              <w:t>Mobilizing stakeholders around a shared objective</w:t>
            </w:r>
          </w:p>
          <w:p w14:paraId="2422AF97" w14:textId="77777777" w:rsidR="008B547F" w:rsidRDefault="008B547F" w:rsidP="008B547F">
            <w:pPr>
              <w:rPr>
                <w:rFonts w:cstheme="minorHAnsi"/>
                <w:sz w:val="20"/>
                <w:szCs w:val="20"/>
              </w:rPr>
            </w:pPr>
            <w:r>
              <w:rPr>
                <w:rFonts w:cstheme="minorHAnsi"/>
                <w:sz w:val="20"/>
                <w:szCs w:val="20"/>
              </w:rPr>
              <w:t xml:space="preserve">- </w:t>
            </w:r>
            <w:r w:rsidRPr="00582481">
              <w:rPr>
                <w:rFonts w:cstheme="minorHAnsi"/>
                <w:sz w:val="20"/>
                <w:szCs w:val="20"/>
              </w:rPr>
              <w:t>A Government in Action including equal employment opportunities in the public service</w:t>
            </w:r>
          </w:p>
          <w:p w14:paraId="61B6F99D" w14:textId="77777777" w:rsidR="008B547F" w:rsidRDefault="008B547F" w:rsidP="008B547F">
            <w:pPr>
              <w:rPr>
                <w:rFonts w:cstheme="minorHAnsi"/>
                <w:sz w:val="20"/>
                <w:szCs w:val="20"/>
              </w:rPr>
            </w:pPr>
            <w:r>
              <w:rPr>
                <w:rFonts w:cstheme="minorHAnsi"/>
                <w:sz w:val="20"/>
                <w:szCs w:val="20"/>
              </w:rPr>
              <w:t>-</w:t>
            </w:r>
            <w:r w:rsidRPr="00582481">
              <w:rPr>
                <w:rFonts w:cstheme="minorHAnsi"/>
                <w:sz w:val="20"/>
                <w:szCs w:val="20"/>
              </w:rPr>
              <w:t xml:space="preserve"> Heightening the awareness of citizens and labour market players</w:t>
            </w:r>
          </w:p>
          <w:p w14:paraId="4392D9FF" w14:textId="77777777" w:rsidR="008B547F" w:rsidRDefault="008B547F" w:rsidP="008B547F">
            <w:pPr>
              <w:rPr>
                <w:rFonts w:cstheme="minorHAnsi"/>
                <w:sz w:val="20"/>
                <w:szCs w:val="20"/>
              </w:rPr>
            </w:pPr>
            <w:r>
              <w:rPr>
                <w:rFonts w:cstheme="minorHAnsi"/>
                <w:sz w:val="20"/>
                <w:szCs w:val="20"/>
              </w:rPr>
              <w:t xml:space="preserve">- </w:t>
            </w:r>
            <w:r w:rsidRPr="00582481">
              <w:rPr>
                <w:rFonts w:cstheme="minorHAnsi"/>
                <w:sz w:val="20"/>
                <w:szCs w:val="20"/>
              </w:rPr>
              <w:t xml:space="preserve">Recognizing and developing the potential of </w:t>
            </w:r>
            <w:r>
              <w:rPr>
                <w:rFonts w:cstheme="minorHAnsi"/>
                <w:sz w:val="20"/>
                <w:szCs w:val="20"/>
              </w:rPr>
              <w:t>persons with disabilities</w:t>
            </w:r>
            <w:r w:rsidRPr="00582481">
              <w:rPr>
                <w:rFonts w:cstheme="minorHAnsi"/>
                <w:sz w:val="20"/>
                <w:szCs w:val="20"/>
              </w:rPr>
              <w:t xml:space="preserve"> (starting in childcare)</w:t>
            </w:r>
          </w:p>
          <w:p w14:paraId="62EFF6F8" w14:textId="73C1DCEE" w:rsidR="008B547F" w:rsidRPr="00582481" w:rsidRDefault="008B547F" w:rsidP="008B547F">
            <w:pPr>
              <w:rPr>
                <w:rFonts w:cstheme="minorHAnsi"/>
                <w:sz w:val="20"/>
                <w:szCs w:val="20"/>
              </w:rPr>
            </w:pPr>
            <w:r>
              <w:rPr>
                <w:rFonts w:cstheme="minorHAnsi"/>
                <w:sz w:val="20"/>
                <w:szCs w:val="20"/>
              </w:rPr>
              <w:t xml:space="preserve">- </w:t>
            </w:r>
            <w:r w:rsidRPr="00582481">
              <w:rPr>
                <w:rFonts w:cstheme="minorHAnsi"/>
                <w:sz w:val="20"/>
                <w:szCs w:val="20"/>
              </w:rPr>
              <w:t>Neutralizing barriers to job entry and job retention</w:t>
            </w:r>
          </w:p>
        </w:tc>
        <w:tc>
          <w:tcPr>
            <w:tcW w:w="1890" w:type="dxa"/>
          </w:tcPr>
          <w:p w14:paraId="6F4599BC" w14:textId="77777777" w:rsidR="008B547F" w:rsidRPr="00582481" w:rsidRDefault="008B547F" w:rsidP="008B547F">
            <w:pPr>
              <w:rPr>
                <w:rFonts w:cstheme="minorHAnsi"/>
                <w:sz w:val="20"/>
                <w:szCs w:val="20"/>
              </w:rPr>
            </w:pPr>
            <w:r w:rsidRPr="00582481">
              <w:rPr>
                <w:rFonts w:cstheme="minorHAnsi"/>
                <w:sz w:val="20"/>
                <w:szCs w:val="20"/>
              </w:rPr>
              <w:t xml:space="preserve">-No specific figures identified </w:t>
            </w:r>
          </w:p>
          <w:p w14:paraId="5C27A420" w14:textId="77777777" w:rsidR="008B547F" w:rsidRPr="00582481" w:rsidRDefault="008B547F" w:rsidP="008B547F">
            <w:pPr>
              <w:rPr>
                <w:rFonts w:cstheme="minorHAnsi"/>
                <w:sz w:val="20"/>
                <w:szCs w:val="20"/>
              </w:rPr>
            </w:pPr>
            <w:r w:rsidRPr="00582481">
              <w:rPr>
                <w:rFonts w:cstheme="minorHAnsi"/>
                <w:sz w:val="20"/>
                <w:szCs w:val="20"/>
              </w:rPr>
              <w:t>-Key recommendations:</w:t>
            </w:r>
          </w:p>
          <w:p w14:paraId="77D04FF0" w14:textId="77777777" w:rsidR="008B547F" w:rsidRPr="00582481" w:rsidRDefault="008B547F" w:rsidP="008B547F">
            <w:pPr>
              <w:rPr>
                <w:rFonts w:cstheme="minorHAnsi"/>
                <w:sz w:val="20"/>
                <w:szCs w:val="20"/>
              </w:rPr>
            </w:pPr>
            <w:r w:rsidRPr="00582481">
              <w:rPr>
                <w:rFonts w:cstheme="minorHAnsi"/>
                <w:sz w:val="20"/>
                <w:szCs w:val="20"/>
              </w:rPr>
              <w:t xml:space="preserve">Simultaneous efforts in: </w:t>
            </w:r>
          </w:p>
          <w:p w14:paraId="0D97B51C" w14:textId="77777777" w:rsidR="008B547F" w:rsidRPr="00582481" w:rsidRDefault="008B547F" w:rsidP="008B547F">
            <w:pPr>
              <w:rPr>
                <w:rFonts w:cstheme="minorHAnsi"/>
                <w:sz w:val="20"/>
                <w:szCs w:val="20"/>
              </w:rPr>
            </w:pPr>
            <w:r w:rsidRPr="00582481">
              <w:rPr>
                <w:rFonts w:cstheme="minorHAnsi"/>
                <w:sz w:val="20"/>
                <w:szCs w:val="20"/>
              </w:rPr>
              <w:t>- Raising awareness of population and labour market stakeholders</w:t>
            </w:r>
          </w:p>
          <w:p w14:paraId="100B9DA9" w14:textId="77777777" w:rsidR="008B547F" w:rsidRPr="00582481" w:rsidRDefault="008B547F" w:rsidP="008B547F">
            <w:pPr>
              <w:rPr>
                <w:rFonts w:cstheme="minorHAnsi"/>
                <w:sz w:val="20"/>
                <w:szCs w:val="20"/>
              </w:rPr>
            </w:pPr>
            <w:r w:rsidRPr="00582481">
              <w:rPr>
                <w:rFonts w:cstheme="minorHAnsi"/>
                <w:sz w:val="20"/>
                <w:szCs w:val="20"/>
              </w:rPr>
              <w:t xml:space="preserve">- Recognizing and developing potential of </w:t>
            </w:r>
            <w:r>
              <w:rPr>
                <w:rFonts w:cstheme="minorHAnsi"/>
                <w:sz w:val="20"/>
                <w:szCs w:val="20"/>
              </w:rPr>
              <w:t>persons with disabilities</w:t>
            </w:r>
          </w:p>
          <w:p w14:paraId="2AE27B69" w14:textId="28AC0F7F" w:rsidR="008B547F" w:rsidRPr="00582481" w:rsidRDefault="008B547F" w:rsidP="008B547F">
            <w:pPr>
              <w:rPr>
                <w:rFonts w:cstheme="minorHAnsi"/>
                <w:sz w:val="20"/>
                <w:szCs w:val="20"/>
              </w:rPr>
            </w:pPr>
            <w:r w:rsidRPr="00582481">
              <w:rPr>
                <w:rFonts w:cstheme="minorHAnsi"/>
                <w:sz w:val="20"/>
                <w:szCs w:val="20"/>
              </w:rPr>
              <w:t>- Neutralizing barriers to job entry and job retention</w:t>
            </w:r>
          </w:p>
        </w:tc>
        <w:tc>
          <w:tcPr>
            <w:tcW w:w="1620" w:type="dxa"/>
          </w:tcPr>
          <w:p w14:paraId="4DA53386" w14:textId="6BDB5054" w:rsidR="008B547F" w:rsidRPr="00582481" w:rsidRDefault="008B547F" w:rsidP="008B547F">
            <w:pPr>
              <w:rPr>
                <w:rFonts w:cstheme="minorHAnsi"/>
                <w:sz w:val="20"/>
                <w:szCs w:val="20"/>
              </w:rPr>
            </w:pPr>
            <w:r w:rsidRPr="00582481">
              <w:rPr>
                <w:rFonts w:cstheme="minorHAnsi"/>
                <w:sz w:val="20"/>
                <w:szCs w:val="20"/>
              </w:rPr>
              <w:t>-Very comprehensive, each specific action they aim to pursue, a specific organization or group is identified as responsible for ensuring that action is carried out.</w:t>
            </w:r>
          </w:p>
        </w:tc>
        <w:tc>
          <w:tcPr>
            <w:tcW w:w="1800" w:type="dxa"/>
          </w:tcPr>
          <w:p w14:paraId="55B6875A" w14:textId="57A59482" w:rsidR="008B547F" w:rsidRPr="00582481" w:rsidRDefault="008B547F" w:rsidP="008B547F">
            <w:pPr>
              <w:rPr>
                <w:rFonts w:cstheme="minorHAnsi"/>
                <w:sz w:val="20"/>
                <w:szCs w:val="20"/>
              </w:rPr>
            </w:pPr>
            <w:r w:rsidRPr="008D2E30">
              <w:rPr>
                <w:rFonts w:cstheme="minorHAnsi"/>
                <w:sz w:val="20"/>
                <w:szCs w:val="20"/>
              </w:rPr>
              <w:t>The first Strategy (2008-2013) included a significant number of measures (61) implemented by about ten government departments and agencies. The result was a strong mobilization around various issues related to the employment of persons with disabilities. Notes</w:t>
            </w:r>
            <w:r>
              <w:rPr>
                <w:rFonts w:cstheme="minorHAnsi"/>
                <w:sz w:val="20"/>
                <w:szCs w:val="20"/>
              </w:rPr>
              <w:t xml:space="preserve">: </w:t>
            </w:r>
            <w:r w:rsidRPr="00582481">
              <w:rPr>
                <w:rFonts w:cstheme="minorHAnsi"/>
                <w:sz w:val="20"/>
                <w:szCs w:val="20"/>
              </w:rPr>
              <w:t>Early intervention strategies for children with disabilities may be an important reference to avoid later struggles</w:t>
            </w:r>
          </w:p>
        </w:tc>
      </w:tr>
      <w:tr w:rsidR="008B547F" w:rsidRPr="00582481" w14:paraId="16283C1C" w14:textId="77777777" w:rsidTr="008B547F">
        <w:trPr>
          <w:trHeight w:val="2267"/>
        </w:trPr>
        <w:tc>
          <w:tcPr>
            <w:tcW w:w="1353" w:type="dxa"/>
          </w:tcPr>
          <w:p w14:paraId="68D59F16" w14:textId="0B1C0D94" w:rsidR="008B547F" w:rsidRPr="00B06911" w:rsidRDefault="008B547F" w:rsidP="008B547F">
            <w:pPr>
              <w:rPr>
                <w:rStyle w:val="Heading3Char"/>
                <w:rFonts w:asciiTheme="minorHAnsi" w:hAnsiTheme="minorHAnsi" w:cstheme="minorHAnsi"/>
                <w:b/>
                <w:bCs/>
                <w:color w:val="auto"/>
              </w:rPr>
            </w:pPr>
            <w:r w:rsidRPr="00B06911">
              <w:rPr>
                <w:rStyle w:val="Heading3Char"/>
                <w:rFonts w:asciiTheme="minorHAnsi" w:hAnsiTheme="minorHAnsi" w:cstheme="minorHAnsi"/>
                <w:b/>
                <w:bCs/>
                <w:color w:val="auto"/>
              </w:rPr>
              <w:lastRenderedPageBreak/>
              <w:t xml:space="preserve">Quebec </w:t>
            </w:r>
            <w:r w:rsidRPr="00B06911">
              <w:rPr>
                <w:rFonts w:cstheme="minorHAnsi"/>
                <w:sz w:val="20"/>
                <w:szCs w:val="20"/>
              </w:rPr>
              <w:t>(launched in 2019 by the Government of Quebec)</w:t>
            </w:r>
          </w:p>
        </w:tc>
        <w:tc>
          <w:tcPr>
            <w:tcW w:w="1800" w:type="dxa"/>
          </w:tcPr>
          <w:p w14:paraId="6644FF62" w14:textId="4E419FEF" w:rsidR="008B547F" w:rsidRPr="00B06911" w:rsidRDefault="008B547F" w:rsidP="008B547F">
            <w:pPr>
              <w:pStyle w:val="Heading4"/>
              <w:rPr>
                <w:rFonts w:asciiTheme="minorHAnsi" w:hAnsiTheme="minorHAnsi" w:cstheme="minorHAnsi"/>
                <w:b/>
                <w:bCs/>
                <w:i w:val="0"/>
                <w:iCs w:val="0"/>
                <w:color w:val="auto"/>
              </w:rPr>
            </w:pPr>
            <w:r w:rsidRPr="00B06911">
              <w:rPr>
                <w:rFonts w:asciiTheme="minorHAnsi" w:hAnsiTheme="minorHAnsi" w:cstheme="minorHAnsi"/>
                <w:b/>
                <w:bCs/>
                <w:i w:val="0"/>
                <w:iCs w:val="0"/>
                <w:color w:val="auto"/>
              </w:rPr>
              <w:t>National Strategy for the Employment Integration and Retention of Persons with Disabilities 2019-2024: For a Quebec that is rich in all its talents</w:t>
            </w:r>
          </w:p>
        </w:tc>
        <w:tc>
          <w:tcPr>
            <w:tcW w:w="2430" w:type="dxa"/>
          </w:tcPr>
          <w:p w14:paraId="00063E21" w14:textId="46A1845E" w:rsidR="008B547F" w:rsidRPr="00B06911" w:rsidRDefault="008B547F" w:rsidP="008B547F">
            <w:pPr>
              <w:rPr>
                <w:rFonts w:cstheme="minorHAnsi"/>
                <w:sz w:val="20"/>
                <w:szCs w:val="20"/>
              </w:rPr>
            </w:pPr>
            <w:r w:rsidRPr="00B06911">
              <w:rPr>
                <w:rFonts w:cstheme="minorHAnsi"/>
                <w:sz w:val="20"/>
                <w:szCs w:val="20"/>
              </w:rPr>
              <w:t>Persons with disabilities are one of the most under-represented segments of the workforce in the labour market; they could participate more in community development through better access to jobs. Quebec must rely on all its talents, including those of persons with disabilities.</w:t>
            </w:r>
          </w:p>
        </w:tc>
        <w:tc>
          <w:tcPr>
            <w:tcW w:w="1890" w:type="dxa"/>
          </w:tcPr>
          <w:p w14:paraId="0A8A1E35" w14:textId="59F8ADE0" w:rsidR="008B547F" w:rsidRPr="00B06911" w:rsidRDefault="008B547F" w:rsidP="008B547F">
            <w:pPr>
              <w:rPr>
                <w:rFonts w:cstheme="minorHAnsi"/>
                <w:sz w:val="20"/>
                <w:szCs w:val="20"/>
              </w:rPr>
            </w:pPr>
            <w:r w:rsidRPr="00B06911">
              <w:rPr>
                <w:rFonts w:cstheme="minorHAnsi"/>
                <w:sz w:val="20"/>
                <w:szCs w:val="20"/>
              </w:rPr>
              <w:t>Consultations were held with the Quebec Office of Persons with Disabilities (OPHQ), community organizations, including advocacy groups for the rights of persons with disabilities, as well as with partners of the Ministry of Employment &amp; Social Solidarity (MTESS), including the Quebec Council of Adapted Companies (CQEA) and the Association of Organizations Specialized in the Employment of Persons with Disabilities (ROSEPH).</w:t>
            </w:r>
          </w:p>
        </w:tc>
        <w:tc>
          <w:tcPr>
            <w:tcW w:w="1710" w:type="dxa"/>
          </w:tcPr>
          <w:p w14:paraId="6FB57CCB" w14:textId="21B77E39" w:rsidR="008B547F" w:rsidRPr="00B06911" w:rsidRDefault="008B547F" w:rsidP="008B547F">
            <w:pPr>
              <w:rPr>
                <w:rFonts w:cstheme="minorHAnsi"/>
                <w:sz w:val="20"/>
                <w:szCs w:val="20"/>
              </w:rPr>
            </w:pPr>
            <w:r w:rsidRPr="00B06911">
              <w:rPr>
                <w:rFonts w:cstheme="minorHAnsi"/>
                <w:sz w:val="20"/>
                <w:szCs w:val="20"/>
              </w:rPr>
              <w:t>The Strategy is based on three challenges, three principles and four strategic directions that are broken into different axes. It aims to implement 33 measures that will be the focus of government intervention in the employment integration and retention of persons with disabilities.</w:t>
            </w:r>
          </w:p>
        </w:tc>
        <w:tc>
          <w:tcPr>
            <w:tcW w:w="1890" w:type="dxa"/>
          </w:tcPr>
          <w:p w14:paraId="17721D5D" w14:textId="77777777" w:rsidR="008B547F" w:rsidRPr="00B06911" w:rsidRDefault="008B547F" w:rsidP="008B547F">
            <w:pPr>
              <w:rPr>
                <w:rFonts w:cstheme="minorHAnsi"/>
                <w:sz w:val="20"/>
                <w:szCs w:val="20"/>
              </w:rPr>
            </w:pPr>
            <w:r w:rsidRPr="00B06911">
              <w:rPr>
                <w:rFonts w:cstheme="minorHAnsi"/>
                <w:sz w:val="20"/>
                <w:szCs w:val="20"/>
              </w:rPr>
              <w:t>The main highlights of the Strategy:</w:t>
            </w:r>
          </w:p>
          <w:p w14:paraId="0FDD254C" w14:textId="77777777" w:rsidR="008B547F" w:rsidRPr="00B06911" w:rsidRDefault="008B547F" w:rsidP="008B547F">
            <w:pPr>
              <w:rPr>
                <w:rFonts w:cstheme="minorHAnsi"/>
                <w:sz w:val="20"/>
                <w:szCs w:val="20"/>
              </w:rPr>
            </w:pPr>
            <w:r w:rsidRPr="00B06911">
              <w:rPr>
                <w:rFonts w:cstheme="minorHAnsi"/>
                <w:sz w:val="20"/>
                <w:szCs w:val="20"/>
              </w:rPr>
              <w:t xml:space="preserve"> - Create 250 positions in companies that are equipped to enable young people with disabilities to have a first meaningful work experience.</w:t>
            </w:r>
          </w:p>
          <w:p w14:paraId="31EC840A" w14:textId="77777777" w:rsidR="008B547F" w:rsidRPr="00B06911" w:rsidRDefault="008B547F" w:rsidP="008B547F">
            <w:pPr>
              <w:rPr>
                <w:rFonts w:cstheme="minorHAnsi"/>
                <w:sz w:val="20"/>
                <w:szCs w:val="20"/>
              </w:rPr>
            </w:pPr>
            <w:r w:rsidRPr="00B06911">
              <w:rPr>
                <w:rFonts w:cstheme="minorHAnsi"/>
                <w:sz w:val="20"/>
                <w:szCs w:val="20"/>
              </w:rPr>
              <w:t>- Support the employment of disabled students.</w:t>
            </w:r>
          </w:p>
          <w:p w14:paraId="59924CA5" w14:textId="77777777" w:rsidR="008B547F" w:rsidRPr="00B06911" w:rsidRDefault="008B547F" w:rsidP="008B547F">
            <w:pPr>
              <w:rPr>
                <w:rFonts w:cstheme="minorHAnsi"/>
                <w:sz w:val="20"/>
                <w:szCs w:val="20"/>
              </w:rPr>
            </w:pPr>
            <w:r w:rsidRPr="00B06911">
              <w:rPr>
                <w:rFonts w:cstheme="minorHAnsi"/>
                <w:sz w:val="20"/>
                <w:szCs w:val="20"/>
              </w:rPr>
              <w:t>- Experiment with a new service to support young people as part of the school-to-work transition process (TEVA).</w:t>
            </w:r>
          </w:p>
          <w:p w14:paraId="5C934E0D" w14:textId="77777777" w:rsidR="008B547F" w:rsidRPr="00B06911" w:rsidRDefault="008B547F" w:rsidP="008B547F">
            <w:pPr>
              <w:rPr>
                <w:rFonts w:cstheme="minorHAnsi"/>
                <w:sz w:val="20"/>
                <w:szCs w:val="20"/>
              </w:rPr>
            </w:pPr>
            <w:r w:rsidRPr="00B06911">
              <w:rPr>
                <w:rFonts w:cstheme="minorHAnsi"/>
                <w:sz w:val="20"/>
                <w:szCs w:val="20"/>
              </w:rPr>
              <w:t>- Increase investments in work integration contracts to enable an additional 500 persons with disabilities to enter the labour market over the next five years.</w:t>
            </w:r>
          </w:p>
          <w:p w14:paraId="1A262915" w14:textId="77777777" w:rsidR="008B547F" w:rsidRPr="00B06911" w:rsidRDefault="008B547F" w:rsidP="008B547F">
            <w:pPr>
              <w:rPr>
                <w:rFonts w:cstheme="minorHAnsi"/>
                <w:sz w:val="20"/>
                <w:szCs w:val="20"/>
              </w:rPr>
            </w:pPr>
            <w:r w:rsidRPr="00B06911">
              <w:rPr>
                <w:rFonts w:cstheme="minorHAnsi"/>
                <w:sz w:val="20"/>
                <w:szCs w:val="20"/>
              </w:rPr>
              <w:t xml:space="preserve">- Create 400 permanent </w:t>
            </w:r>
            <w:r w:rsidRPr="00B06911">
              <w:rPr>
                <w:rFonts w:cstheme="minorHAnsi"/>
                <w:sz w:val="20"/>
                <w:szCs w:val="20"/>
              </w:rPr>
              <w:lastRenderedPageBreak/>
              <w:t>positions adapted companies.</w:t>
            </w:r>
          </w:p>
          <w:p w14:paraId="4502D4BC" w14:textId="77777777" w:rsidR="008B547F" w:rsidRPr="00B06911" w:rsidRDefault="008B547F" w:rsidP="008B547F">
            <w:pPr>
              <w:rPr>
                <w:rFonts w:cstheme="minorHAnsi"/>
                <w:sz w:val="20"/>
                <w:szCs w:val="20"/>
              </w:rPr>
            </w:pPr>
            <w:r w:rsidRPr="00B06911">
              <w:rPr>
                <w:rFonts w:cstheme="minorHAnsi"/>
                <w:sz w:val="20"/>
                <w:szCs w:val="20"/>
              </w:rPr>
              <w:t>- Conduct an awareness campaign with employers.</w:t>
            </w:r>
          </w:p>
          <w:p w14:paraId="18A7FC6D" w14:textId="77777777" w:rsidR="008B547F" w:rsidRPr="00B06911" w:rsidRDefault="008B547F" w:rsidP="008B547F">
            <w:pPr>
              <w:rPr>
                <w:rFonts w:cstheme="minorHAnsi"/>
                <w:sz w:val="20"/>
                <w:szCs w:val="20"/>
              </w:rPr>
            </w:pPr>
            <w:r w:rsidRPr="00B06911">
              <w:rPr>
                <w:rFonts w:cstheme="minorHAnsi"/>
                <w:sz w:val="20"/>
                <w:szCs w:val="20"/>
              </w:rPr>
              <w:t>- Implement the program for equal access to employment for persons with disabilities.</w:t>
            </w:r>
          </w:p>
          <w:p w14:paraId="7F8BAA0D" w14:textId="77777777" w:rsidR="008B547F" w:rsidRPr="00B06911" w:rsidRDefault="008B547F" w:rsidP="008B547F">
            <w:pPr>
              <w:rPr>
                <w:rFonts w:cstheme="minorHAnsi"/>
                <w:sz w:val="20"/>
                <w:szCs w:val="20"/>
              </w:rPr>
            </w:pPr>
            <w:r w:rsidRPr="00B06911">
              <w:rPr>
                <w:rFonts w:cstheme="minorHAnsi"/>
                <w:sz w:val="20"/>
                <w:szCs w:val="20"/>
              </w:rPr>
              <w:t>- Strengthen the Employability Development Program for People with Disabilities (EDPDPD).</w:t>
            </w:r>
          </w:p>
          <w:p w14:paraId="2C07A75D" w14:textId="77777777" w:rsidR="008B547F" w:rsidRPr="00B06911" w:rsidRDefault="008B547F" w:rsidP="008B547F">
            <w:pPr>
              <w:rPr>
                <w:rFonts w:cstheme="minorHAnsi"/>
                <w:sz w:val="20"/>
                <w:szCs w:val="20"/>
              </w:rPr>
            </w:pPr>
            <w:r w:rsidRPr="00B06911">
              <w:rPr>
                <w:rFonts w:cstheme="minorHAnsi"/>
                <w:sz w:val="20"/>
                <w:szCs w:val="20"/>
              </w:rPr>
              <w:t>- Improve the continuum of services between the network of employment and social solidarity, the network of health and social services, and the one of education and higher education.</w:t>
            </w:r>
          </w:p>
          <w:p w14:paraId="3CAC7154" w14:textId="77777777" w:rsidR="008B547F" w:rsidRPr="00B06911" w:rsidRDefault="008B547F" w:rsidP="008B547F">
            <w:pPr>
              <w:rPr>
                <w:rFonts w:cstheme="minorHAnsi"/>
                <w:sz w:val="20"/>
                <w:szCs w:val="20"/>
              </w:rPr>
            </w:pPr>
            <w:r w:rsidRPr="00B06911">
              <w:rPr>
                <w:rFonts w:cstheme="minorHAnsi"/>
                <w:sz w:val="20"/>
                <w:szCs w:val="20"/>
              </w:rPr>
              <w:t>- Improve the supply of services in terms of socio-</w:t>
            </w:r>
            <w:r w:rsidRPr="00B06911">
              <w:rPr>
                <w:rFonts w:cstheme="minorHAnsi"/>
                <w:sz w:val="20"/>
                <w:szCs w:val="20"/>
              </w:rPr>
              <w:lastRenderedPageBreak/>
              <w:t>professional and community activities.</w:t>
            </w:r>
          </w:p>
          <w:p w14:paraId="3E84757D" w14:textId="77777777" w:rsidR="008B547F" w:rsidRPr="00B06911" w:rsidRDefault="008B547F" w:rsidP="008B547F">
            <w:pPr>
              <w:rPr>
                <w:rFonts w:cstheme="minorHAnsi"/>
                <w:sz w:val="20"/>
                <w:szCs w:val="20"/>
              </w:rPr>
            </w:pPr>
            <w:r w:rsidRPr="00B06911">
              <w:rPr>
                <w:rFonts w:cstheme="minorHAnsi"/>
                <w:sz w:val="20"/>
                <w:szCs w:val="20"/>
              </w:rPr>
              <w:t>- Support and accompany persons with disabilities who participate in internships or work placements.</w:t>
            </w:r>
          </w:p>
          <w:p w14:paraId="20815F51" w14:textId="7A9C0B4E" w:rsidR="008B547F" w:rsidRPr="00B06911" w:rsidRDefault="008B547F" w:rsidP="008B547F">
            <w:pPr>
              <w:rPr>
                <w:rFonts w:cstheme="minorHAnsi"/>
                <w:sz w:val="20"/>
                <w:szCs w:val="20"/>
              </w:rPr>
            </w:pPr>
            <w:r w:rsidRPr="00B06911">
              <w:rPr>
                <w:rFonts w:cstheme="minorHAnsi"/>
                <w:sz w:val="20"/>
                <w:szCs w:val="20"/>
              </w:rPr>
              <w:t>- Continue the implementation of a new individualized support service in the workplace.</w:t>
            </w:r>
          </w:p>
        </w:tc>
        <w:tc>
          <w:tcPr>
            <w:tcW w:w="1620" w:type="dxa"/>
          </w:tcPr>
          <w:p w14:paraId="1E327986" w14:textId="4F6AB9CE" w:rsidR="008B547F" w:rsidRPr="00B06911" w:rsidRDefault="008B547F" w:rsidP="008B547F">
            <w:pPr>
              <w:rPr>
                <w:rFonts w:cstheme="minorHAnsi"/>
                <w:sz w:val="20"/>
                <w:szCs w:val="20"/>
              </w:rPr>
            </w:pPr>
            <w:r w:rsidRPr="00B06911">
              <w:rPr>
                <w:rFonts w:cstheme="minorHAnsi"/>
                <w:sz w:val="20"/>
                <w:szCs w:val="20"/>
              </w:rPr>
              <w:lastRenderedPageBreak/>
              <w:t>Like the first strategy, this strategy is very comprehensive, each specific action they aim to pursue, a specific organization or group is identified as responsible for ensuring that action is carried out.</w:t>
            </w:r>
          </w:p>
        </w:tc>
        <w:tc>
          <w:tcPr>
            <w:tcW w:w="1800" w:type="dxa"/>
          </w:tcPr>
          <w:p w14:paraId="116CCE04" w14:textId="4C66E116" w:rsidR="008B547F" w:rsidRPr="00B06911" w:rsidRDefault="008B547F" w:rsidP="008B547F">
            <w:pPr>
              <w:rPr>
                <w:rFonts w:cstheme="minorHAnsi"/>
                <w:sz w:val="20"/>
                <w:szCs w:val="20"/>
              </w:rPr>
            </w:pPr>
            <w:r w:rsidRPr="00B06911">
              <w:rPr>
                <w:rFonts w:cstheme="minorHAnsi"/>
                <w:sz w:val="20"/>
                <w:szCs w:val="20"/>
              </w:rPr>
              <w:t>In implementation from 2019 - 2024</w:t>
            </w:r>
          </w:p>
        </w:tc>
      </w:tr>
      <w:tr w:rsidR="008B547F" w:rsidRPr="00582481" w14:paraId="2759F762" w14:textId="77777777" w:rsidTr="008B547F">
        <w:trPr>
          <w:cantSplit/>
          <w:trHeight w:val="2267"/>
        </w:trPr>
        <w:tc>
          <w:tcPr>
            <w:tcW w:w="1353" w:type="dxa"/>
          </w:tcPr>
          <w:p w14:paraId="0E6FEA48" w14:textId="070871CD" w:rsidR="008B547F" w:rsidRPr="000B12DA" w:rsidRDefault="008B547F" w:rsidP="008B547F">
            <w:pPr>
              <w:rPr>
                <w:rStyle w:val="Heading3Char"/>
                <w:rFonts w:asciiTheme="minorHAnsi" w:hAnsiTheme="minorHAnsi" w:cstheme="minorHAnsi"/>
                <w:b/>
                <w:bCs/>
                <w:color w:val="auto"/>
                <w:highlight w:val="yellow"/>
              </w:rPr>
            </w:pPr>
            <w:r w:rsidRPr="000B12DA">
              <w:rPr>
                <w:rStyle w:val="Heading3Char"/>
                <w:rFonts w:asciiTheme="minorHAnsi" w:hAnsiTheme="minorHAnsi" w:cstheme="minorHAnsi"/>
                <w:b/>
                <w:bCs/>
                <w:color w:val="auto"/>
              </w:rPr>
              <w:lastRenderedPageBreak/>
              <w:t>New Brunswick</w:t>
            </w:r>
            <w:r w:rsidRPr="00582481">
              <w:rPr>
                <w:rFonts w:cstheme="minorHAnsi"/>
                <w:sz w:val="20"/>
                <w:szCs w:val="20"/>
              </w:rPr>
              <w:t xml:space="preserve"> (prepared May 29, 2018 by the Government of New Brunswick’s Premier’s Council on Disabilities)</w:t>
            </w:r>
          </w:p>
        </w:tc>
        <w:tc>
          <w:tcPr>
            <w:tcW w:w="1800" w:type="dxa"/>
          </w:tcPr>
          <w:p w14:paraId="767B94C2" w14:textId="6A02775F" w:rsidR="008B547F" w:rsidRPr="008B547F" w:rsidRDefault="008B547F" w:rsidP="008B547F">
            <w:pPr>
              <w:pStyle w:val="Heading4"/>
              <w:rPr>
                <w:rFonts w:asciiTheme="minorHAnsi" w:hAnsiTheme="minorHAnsi" w:cstheme="minorHAnsi"/>
                <w:b/>
                <w:bCs/>
                <w:i w:val="0"/>
                <w:iCs w:val="0"/>
                <w:color w:val="auto"/>
                <w:highlight w:val="yellow"/>
              </w:rPr>
            </w:pPr>
            <w:r w:rsidRPr="008B547F">
              <w:rPr>
                <w:rFonts w:asciiTheme="minorHAnsi" w:hAnsiTheme="minorHAnsi" w:cstheme="minorHAnsi"/>
                <w:b/>
                <w:bCs/>
                <w:i w:val="0"/>
                <w:iCs w:val="0"/>
                <w:color w:val="auto"/>
              </w:rPr>
              <w:t>New Brunswick’s Employment Action Plan for Persons with a Disability 2012–2018 Progress Report May 29, 2018 Premier’s Council on Disabilities</w:t>
            </w:r>
          </w:p>
        </w:tc>
        <w:tc>
          <w:tcPr>
            <w:tcW w:w="2430" w:type="dxa"/>
          </w:tcPr>
          <w:p w14:paraId="7E06D70D" w14:textId="7BAA76A9" w:rsidR="008B547F" w:rsidRDefault="008B547F" w:rsidP="008B547F">
            <w:pPr>
              <w:rPr>
                <w:rFonts w:cstheme="minorHAnsi"/>
                <w:sz w:val="20"/>
                <w:szCs w:val="20"/>
                <w:highlight w:val="yellow"/>
              </w:rPr>
            </w:pPr>
            <w:r w:rsidRPr="00582481">
              <w:rPr>
                <w:rFonts w:cstheme="minorHAnsi"/>
                <w:sz w:val="20"/>
                <w:szCs w:val="20"/>
              </w:rPr>
              <w:t xml:space="preserve">Employment Action Plans (EAP) for Persons with a Disability were developed in 2012 following extensive consultation with the NB disability sector. In 2018, the Premier’s Council on Disabilities initiated a new consultation process to review accomplishments and refresh. The intent is to have a cohesive, specific target approach thereby creating real opportunities for PWD </w:t>
            </w:r>
          </w:p>
        </w:tc>
        <w:tc>
          <w:tcPr>
            <w:tcW w:w="1890" w:type="dxa"/>
          </w:tcPr>
          <w:p w14:paraId="6775023C" w14:textId="55973AF6" w:rsidR="008B547F" w:rsidRPr="00702BC8" w:rsidRDefault="008B547F" w:rsidP="008B547F">
            <w:pPr>
              <w:rPr>
                <w:rFonts w:cstheme="minorHAnsi"/>
                <w:sz w:val="20"/>
                <w:szCs w:val="20"/>
                <w:highlight w:val="yellow"/>
              </w:rPr>
            </w:pPr>
            <w:r w:rsidRPr="00582481">
              <w:rPr>
                <w:rFonts w:cstheme="minorHAnsi"/>
                <w:sz w:val="20"/>
                <w:szCs w:val="20"/>
              </w:rPr>
              <w:t xml:space="preserve">The Department of Postsecondary Education, Training and Labour and the Premier’s Council on Disabilities consulted with the disability sector in 2010 to identify specific employment-related goals and targets. They created an Action Plan monitored by stakeholders designed to have a cohesive approach (with </w:t>
            </w:r>
            <w:proofErr w:type="gramStart"/>
            <w:r w:rsidRPr="00582481">
              <w:rPr>
                <w:rFonts w:cstheme="minorHAnsi"/>
                <w:sz w:val="20"/>
                <w:szCs w:val="20"/>
              </w:rPr>
              <w:t>provincially-financed</w:t>
            </w:r>
            <w:proofErr w:type="gramEnd"/>
            <w:r w:rsidRPr="00582481">
              <w:rPr>
                <w:rFonts w:cstheme="minorHAnsi"/>
                <w:sz w:val="20"/>
                <w:szCs w:val="20"/>
              </w:rPr>
              <w:t xml:space="preserve"> initiatives)</w:t>
            </w:r>
          </w:p>
        </w:tc>
        <w:tc>
          <w:tcPr>
            <w:tcW w:w="1710" w:type="dxa"/>
          </w:tcPr>
          <w:p w14:paraId="0EE3A306" w14:textId="25BDDC17" w:rsidR="008B547F" w:rsidRPr="00702BC8" w:rsidRDefault="008B547F" w:rsidP="008B547F">
            <w:pPr>
              <w:rPr>
                <w:rFonts w:cstheme="minorHAnsi"/>
                <w:sz w:val="20"/>
                <w:szCs w:val="20"/>
                <w:highlight w:val="yellow"/>
              </w:rPr>
            </w:pPr>
            <w:r w:rsidRPr="00582481">
              <w:rPr>
                <w:rFonts w:cstheme="minorHAnsi"/>
                <w:sz w:val="20"/>
                <w:szCs w:val="20"/>
              </w:rPr>
              <w:t>The EAP was created with 38 recommendations and 65 specific action items designed to respond to issues identified by key stakeholders. The stakeholders (led by the Premier’s Council on Disabilities) met periodically to evaluate the progress reports and provide alternate measures/recommendations</w:t>
            </w:r>
          </w:p>
        </w:tc>
        <w:tc>
          <w:tcPr>
            <w:tcW w:w="1890" w:type="dxa"/>
          </w:tcPr>
          <w:p w14:paraId="4DF1CDE2" w14:textId="7FB12755" w:rsidR="008B547F" w:rsidRPr="00702BC8" w:rsidRDefault="008B547F" w:rsidP="008B547F">
            <w:pPr>
              <w:rPr>
                <w:rFonts w:cstheme="minorHAnsi"/>
                <w:sz w:val="20"/>
                <w:szCs w:val="20"/>
                <w:highlight w:val="yellow"/>
              </w:rPr>
            </w:pPr>
            <w:r w:rsidRPr="00582481">
              <w:rPr>
                <w:rFonts w:cstheme="minorHAnsi"/>
                <w:sz w:val="20"/>
                <w:szCs w:val="20"/>
              </w:rPr>
              <w:t>The outcome indicator chosen was the rate of employment of people with disabilities in the labour force in New Brunswick (78% in 2014) as compared to people in the labour force without disabilities (90% in 2014). This “employment gap” in 2014 was 12 percentage points, reduced further to 9 points between 2014-2017. The EAP concluded on March 31, 2018 and the Premier’s Council on Disabilities have initiated another consultation with stakeholders to revamp and create a second Disability Action Plan with, the goal of reducing the rate of employment between PWD and people without disabilities</w:t>
            </w:r>
          </w:p>
        </w:tc>
        <w:tc>
          <w:tcPr>
            <w:tcW w:w="1620" w:type="dxa"/>
          </w:tcPr>
          <w:p w14:paraId="5074337D" w14:textId="4A3EE4EF" w:rsidR="008B547F" w:rsidRPr="00702BC8" w:rsidRDefault="008B547F" w:rsidP="008B547F">
            <w:pPr>
              <w:rPr>
                <w:rFonts w:cstheme="minorHAnsi"/>
                <w:sz w:val="20"/>
                <w:szCs w:val="20"/>
                <w:highlight w:val="yellow"/>
              </w:rPr>
            </w:pPr>
            <w:r w:rsidRPr="00582481">
              <w:rPr>
                <w:rFonts w:cstheme="minorHAnsi"/>
                <w:sz w:val="20"/>
                <w:szCs w:val="20"/>
              </w:rPr>
              <w:t>Consultation and coordination, with one organization leading the initiative</w:t>
            </w:r>
          </w:p>
        </w:tc>
        <w:tc>
          <w:tcPr>
            <w:tcW w:w="1800" w:type="dxa"/>
          </w:tcPr>
          <w:p w14:paraId="14E81AD4" w14:textId="69E184CE" w:rsidR="008B547F" w:rsidRPr="00702BC8" w:rsidRDefault="008B547F" w:rsidP="008B547F">
            <w:pPr>
              <w:rPr>
                <w:rFonts w:cstheme="minorHAnsi"/>
                <w:sz w:val="20"/>
                <w:szCs w:val="20"/>
                <w:highlight w:val="yellow"/>
              </w:rPr>
            </w:pPr>
            <w:r w:rsidRPr="00582481">
              <w:rPr>
                <w:rFonts w:cstheme="minorHAnsi"/>
                <w:sz w:val="20"/>
                <w:szCs w:val="20"/>
              </w:rPr>
              <w:t>Some recommendations in the implementation phase but consultation phase for NEW EAP expected for 2018</w:t>
            </w:r>
          </w:p>
        </w:tc>
      </w:tr>
      <w:tr w:rsidR="008B547F" w:rsidRPr="00582481" w14:paraId="466E3AE7" w14:textId="77777777" w:rsidTr="008B547F">
        <w:trPr>
          <w:trHeight w:val="2267"/>
        </w:trPr>
        <w:tc>
          <w:tcPr>
            <w:tcW w:w="1353" w:type="dxa"/>
          </w:tcPr>
          <w:p w14:paraId="556ACBDD" w14:textId="601B4497" w:rsidR="008B547F" w:rsidRPr="000B12DA" w:rsidRDefault="008B547F" w:rsidP="008B547F">
            <w:pPr>
              <w:rPr>
                <w:rStyle w:val="Heading3Char"/>
                <w:rFonts w:asciiTheme="minorHAnsi" w:hAnsiTheme="minorHAnsi" w:cstheme="minorHAnsi"/>
                <w:b/>
                <w:bCs/>
                <w:color w:val="auto"/>
              </w:rPr>
            </w:pPr>
            <w:r w:rsidRPr="000B12DA">
              <w:rPr>
                <w:rStyle w:val="Heading3Char"/>
                <w:rFonts w:asciiTheme="minorHAnsi" w:hAnsiTheme="minorHAnsi" w:cstheme="minorHAnsi"/>
                <w:b/>
                <w:bCs/>
                <w:color w:val="auto"/>
              </w:rPr>
              <w:lastRenderedPageBreak/>
              <w:t>Prince Edward Island</w:t>
            </w:r>
            <w:r w:rsidRPr="00582481">
              <w:rPr>
                <w:rFonts w:cstheme="minorHAnsi"/>
                <w:sz w:val="20"/>
                <w:szCs w:val="20"/>
              </w:rPr>
              <w:t xml:space="preserve"> (prepared by the Government of PEI, Public Service Commission)</w:t>
            </w:r>
          </w:p>
        </w:tc>
        <w:tc>
          <w:tcPr>
            <w:tcW w:w="1800" w:type="dxa"/>
          </w:tcPr>
          <w:p w14:paraId="7D1BBC4A" w14:textId="11233A64" w:rsidR="008B547F" w:rsidRPr="008B547F" w:rsidRDefault="008B547F" w:rsidP="008B547F">
            <w:pPr>
              <w:pStyle w:val="Heading4"/>
              <w:rPr>
                <w:rFonts w:asciiTheme="minorHAnsi" w:hAnsiTheme="minorHAnsi" w:cstheme="minorHAnsi"/>
                <w:b/>
                <w:bCs/>
                <w:i w:val="0"/>
                <w:iCs w:val="0"/>
                <w:color w:val="auto"/>
              </w:rPr>
            </w:pPr>
            <w:r w:rsidRPr="008B547F">
              <w:rPr>
                <w:rFonts w:asciiTheme="minorHAnsi" w:hAnsiTheme="minorHAnsi" w:cstheme="minorHAnsi"/>
                <w:b/>
                <w:bCs/>
                <w:i w:val="0"/>
                <w:iCs w:val="0"/>
                <w:color w:val="auto"/>
              </w:rPr>
              <w:t>Workforce Diversity Policy Province of Prince Edward Island</w:t>
            </w:r>
          </w:p>
        </w:tc>
        <w:tc>
          <w:tcPr>
            <w:tcW w:w="2430" w:type="dxa"/>
          </w:tcPr>
          <w:p w14:paraId="2C136F60" w14:textId="0F83B72B" w:rsidR="008B547F" w:rsidRPr="00582481" w:rsidRDefault="008B547F" w:rsidP="008B547F">
            <w:pPr>
              <w:rPr>
                <w:rFonts w:cstheme="minorHAnsi"/>
                <w:sz w:val="20"/>
                <w:szCs w:val="20"/>
              </w:rPr>
            </w:pPr>
            <w:r w:rsidRPr="00582481">
              <w:rPr>
                <w:rFonts w:cstheme="minorHAnsi"/>
                <w:sz w:val="20"/>
                <w:szCs w:val="20"/>
              </w:rPr>
              <w:t xml:space="preserve">The Workforce Diversity Policy includes but is not limited to four groups (Aboriginal peoples, people with disabilities, members of visible minority groups and women in leadership and women/men in non-traditional occupations) and is intended to create a workplace that represents the diversity of the population it serves, that integrates diversity into all management practices and provides guidance for the development and implementation of relevant plans, programs and initiatives </w:t>
            </w:r>
          </w:p>
        </w:tc>
        <w:tc>
          <w:tcPr>
            <w:tcW w:w="1890" w:type="dxa"/>
          </w:tcPr>
          <w:p w14:paraId="00A47F89" w14:textId="4B169FDF" w:rsidR="008B547F" w:rsidRPr="00582481" w:rsidRDefault="008B547F" w:rsidP="008B547F">
            <w:pPr>
              <w:rPr>
                <w:rFonts w:cstheme="minorHAnsi"/>
                <w:sz w:val="20"/>
                <w:szCs w:val="20"/>
              </w:rPr>
            </w:pPr>
            <w:r w:rsidRPr="00582481">
              <w:rPr>
                <w:rFonts w:cstheme="minorHAnsi"/>
                <w:sz w:val="20"/>
                <w:szCs w:val="20"/>
              </w:rPr>
              <w:t>No information provided online</w:t>
            </w:r>
          </w:p>
        </w:tc>
        <w:tc>
          <w:tcPr>
            <w:tcW w:w="1710" w:type="dxa"/>
          </w:tcPr>
          <w:p w14:paraId="3E001124" w14:textId="77777777" w:rsidR="008B547F" w:rsidRPr="00582481" w:rsidRDefault="008B547F" w:rsidP="008B547F">
            <w:pPr>
              <w:rPr>
                <w:rFonts w:cstheme="minorHAnsi"/>
                <w:sz w:val="20"/>
                <w:szCs w:val="20"/>
              </w:rPr>
            </w:pPr>
            <w:r w:rsidRPr="00582481">
              <w:rPr>
                <w:rFonts w:cstheme="minorHAnsi"/>
                <w:sz w:val="20"/>
                <w:szCs w:val="20"/>
              </w:rPr>
              <w:t xml:space="preserve">-Build a diverse and skilled workforce, increase opportunities within the public service, build an inclusive workplace culture, raise staff awareness of their rights and responsibilities, implement a framework that includes fairness, equity and diversity, eliminate workplace barriers </w:t>
            </w:r>
          </w:p>
          <w:p w14:paraId="41BD4D16" w14:textId="77777777" w:rsidR="008B547F" w:rsidRPr="00582481" w:rsidRDefault="008B547F" w:rsidP="008B547F">
            <w:pPr>
              <w:rPr>
                <w:rFonts w:cstheme="minorHAnsi"/>
                <w:sz w:val="20"/>
                <w:szCs w:val="20"/>
              </w:rPr>
            </w:pPr>
          </w:p>
        </w:tc>
        <w:tc>
          <w:tcPr>
            <w:tcW w:w="1890" w:type="dxa"/>
          </w:tcPr>
          <w:p w14:paraId="1643262E" w14:textId="239E77D5" w:rsidR="008B547F" w:rsidRPr="00582481" w:rsidRDefault="008B547F" w:rsidP="008B547F">
            <w:pPr>
              <w:rPr>
                <w:rFonts w:cstheme="minorHAnsi"/>
                <w:sz w:val="20"/>
                <w:szCs w:val="20"/>
              </w:rPr>
            </w:pPr>
            <w:r w:rsidRPr="00582481">
              <w:rPr>
                <w:rFonts w:cstheme="minorHAnsi"/>
                <w:sz w:val="20"/>
                <w:szCs w:val="20"/>
              </w:rPr>
              <w:t>N/A</w:t>
            </w:r>
          </w:p>
        </w:tc>
        <w:tc>
          <w:tcPr>
            <w:tcW w:w="1620" w:type="dxa"/>
          </w:tcPr>
          <w:p w14:paraId="291C61D8" w14:textId="1167F37C" w:rsidR="008B547F" w:rsidRPr="00582481" w:rsidRDefault="008B547F" w:rsidP="008B547F">
            <w:pPr>
              <w:rPr>
                <w:rFonts w:cstheme="minorHAnsi"/>
                <w:sz w:val="20"/>
                <w:szCs w:val="20"/>
              </w:rPr>
            </w:pPr>
            <w:r w:rsidRPr="00582481">
              <w:rPr>
                <w:rFonts w:cstheme="minorHAnsi"/>
                <w:sz w:val="20"/>
                <w:szCs w:val="20"/>
              </w:rPr>
              <w:t>N/A</w:t>
            </w:r>
          </w:p>
        </w:tc>
        <w:tc>
          <w:tcPr>
            <w:tcW w:w="1800" w:type="dxa"/>
          </w:tcPr>
          <w:p w14:paraId="40E2589C" w14:textId="5BF48C00" w:rsidR="008B547F" w:rsidRPr="00582481" w:rsidRDefault="008B547F" w:rsidP="008B547F">
            <w:pPr>
              <w:rPr>
                <w:rFonts w:cstheme="minorHAnsi"/>
                <w:sz w:val="20"/>
                <w:szCs w:val="20"/>
              </w:rPr>
            </w:pPr>
            <w:r w:rsidRPr="00582481">
              <w:rPr>
                <w:rFonts w:cstheme="minorHAnsi"/>
                <w:sz w:val="20"/>
                <w:szCs w:val="20"/>
              </w:rPr>
              <w:t>N/A</w:t>
            </w:r>
          </w:p>
        </w:tc>
      </w:tr>
      <w:tr w:rsidR="008B547F" w:rsidRPr="00582481" w14:paraId="6F09F9FC" w14:textId="77777777" w:rsidTr="008B547F">
        <w:trPr>
          <w:cantSplit/>
          <w:trHeight w:val="2267"/>
        </w:trPr>
        <w:tc>
          <w:tcPr>
            <w:tcW w:w="1353" w:type="dxa"/>
          </w:tcPr>
          <w:p w14:paraId="59A76EC3" w14:textId="66C04009" w:rsidR="008B547F" w:rsidRPr="000B12DA" w:rsidRDefault="008B547F" w:rsidP="008B547F">
            <w:pPr>
              <w:rPr>
                <w:rStyle w:val="Heading3Char"/>
                <w:rFonts w:asciiTheme="minorHAnsi" w:hAnsiTheme="minorHAnsi" w:cstheme="minorHAnsi"/>
                <w:b/>
                <w:bCs/>
                <w:color w:val="auto"/>
              </w:rPr>
            </w:pPr>
            <w:r w:rsidRPr="000B12DA">
              <w:rPr>
                <w:rStyle w:val="Heading3Char"/>
                <w:rFonts w:asciiTheme="minorHAnsi" w:hAnsiTheme="minorHAnsi" w:cstheme="minorHAnsi"/>
                <w:b/>
                <w:bCs/>
                <w:color w:val="auto"/>
              </w:rPr>
              <w:lastRenderedPageBreak/>
              <w:t>Nova Scotia</w:t>
            </w:r>
            <w:r w:rsidRPr="00582481">
              <w:rPr>
                <w:rFonts w:cstheme="minorHAnsi"/>
                <w:sz w:val="20"/>
                <w:szCs w:val="20"/>
              </w:rPr>
              <w:t xml:space="preserve"> (new strategy prepared in Autumn 2018 by the Nova Scotia </w:t>
            </w:r>
            <w:proofErr w:type="gramStart"/>
            <w:r w:rsidRPr="00582481">
              <w:rPr>
                <w:rFonts w:cstheme="minorHAnsi"/>
                <w:sz w:val="20"/>
                <w:szCs w:val="20"/>
              </w:rPr>
              <w:t>government,</w:t>
            </w:r>
            <w:proofErr w:type="gramEnd"/>
            <w:r w:rsidRPr="00582481">
              <w:rPr>
                <w:rFonts w:cstheme="minorHAnsi"/>
                <w:sz w:val="20"/>
                <w:szCs w:val="20"/>
              </w:rPr>
              <w:t xml:space="preserve"> former strategy prepared in 2013)</w:t>
            </w:r>
          </w:p>
        </w:tc>
        <w:tc>
          <w:tcPr>
            <w:tcW w:w="1800" w:type="dxa"/>
          </w:tcPr>
          <w:p w14:paraId="07510383" w14:textId="78657C9F" w:rsidR="008B547F" w:rsidRPr="008B547F" w:rsidRDefault="008B547F" w:rsidP="008B547F">
            <w:pPr>
              <w:pStyle w:val="Heading4"/>
              <w:rPr>
                <w:rFonts w:asciiTheme="minorHAnsi" w:hAnsiTheme="minorHAnsi" w:cstheme="minorHAnsi"/>
                <w:b/>
                <w:bCs/>
                <w:i w:val="0"/>
                <w:iCs w:val="0"/>
                <w:color w:val="auto"/>
              </w:rPr>
            </w:pPr>
            <w:r w:rsidRPr="008B547F">
              <w:rPr>
                <w:rFonts w:asciiTheme="minorHAnsi" w:hAnsiTheme="minorHAnsi" w:cstheme="minorHAnsi"/>
                <w:b/>
                <w:bCs/>
                <w:i w:val="0"/>
                <w:iCs w:val="0"/>
                <w:color w:val="auto"/>
              </w:rPr>
              <w:t>Nova Scotia’s Accessible Act (formerly Raising the Bar: A strategy to build diversity and inclusion in the public service 2014-2018)</w:t>
            </w:r>
          </w:p>
        </w:tc>
        <w:tc>
          <w:tcPr>
            <w:tcW w:w="2430" w:type="dxa"/>
          </w:tcPr>
          <w:p w14:paraId="686ADA6B" w14:textId="77777777" w:rsidR="008B547F" w:rsidRPr="00582481" w:rsidRDefault="008B547F" w:rsidP="008B547F">
            <w:pPr>
              <w:rPr>
                <w:rFonts w:cstheme="minorHAnsi"/>
                <w:sz w:val="20"/>
                <w:szCs w:val="20"/>
              </w:rPr>
            </w:pPr>
            <w:r w:rsidRPr="00582481">
              <w:rPr>
                <w:rFonts w:cstheme="minorHAnsi"/>
                <w:sz w:val="20"/>
                <w:szCs w:val="20"/>
              </w:rPr>
              <w:t>The principles of the act align with the Canadian Charter of Rights and Freedoms, the Nova Scotia Human Rights Act, the United Nations Convention on the Rights of Persons with Disabilities</w:t>
            </w:r>
          </w:p>
          <w:p w14:paraId="4A0075CE" w14:textId="664A220C" w:rsidR="008B547F" w:rsidRPr="00582481" w:rsidRDefault="008B547F" w:rsidP="008B547F">
            <w:pPr>
              <w:rPr>
                <w:rFonts w:cstheme="minorHAnsi"/>
                <w:sz w:val="20"/>
                <w:szCs w:val="20"/>
              </w:rPr>
            </w:pPr>
            <w:r w:rsidRPr="00582481">
              <w:rPr>
                <w:rFonts w:cstheme="minorHAnsi"/>
                <w:sz w:val="20"/>
                <w:szCs w:val="20"/>
              </w:rPr>
              <w:t>-Established the Accessibility Directorate and Accessibility Advisory Board</w:t>
            </w:r>
          </w:p>
        </w:tc>
        <w:tc>
          <w:tcPr>
            <w:tcW w:w="1890" w:type="dxa"/>
          </w:tcPr>
          <w:p w14:paraId="450904C5" w14:textId="77777777" w:rsidR="008B547F" w:rsidRPr="00582481" w:rsidRDefault="008B547F" w:rsidP="008B547F">
            <w:pPr>
              <w:rPr>
                <w:rFonts w:cstheme="minorHAnsi"/>
                <w:sz w:val="20"/>
                <w:szCs w:val="20"/>
              </w:rPr>
            </w:pPr>
            <w:r w:rsidRPr="00582481">
              <w:rPr>
                <w:rFonts w:cstheme="minorHAnsi"/>
                <w:sz w:val="20"/>
                <w:szCs w:val="20"/>
              </w:rPr>
              <w:t>Consultation process with multiple disability communities</w:t>
            </w:r>
          </w:p>
          <w:p w14:paraId="0EB4490A" w14:textId="77777777" w:rsidR="008B547F" w:rsidRPr="00582481" w:rsidRDefault="008B547F" w:rsidP="008B547F">
            <w:pPr>
              <w:rPr>
                <w:rFonts w:cstheme="minorHAnsi"/>
                <w:sz w:val="20"/>
                <w:szCs w:val="20"/>
              </w:rPr>
            </w:pPr>
          </w:p>
        </w:tc>
        <w:tc>
          <w:tcPr>
            <w:tcW w:w="1710" w:type="dxa"/>
          </w:tcPr>
          <w:p w14:paraId="0608CE50" w14:textId="77777777" w:rsidR="008B547F" w:rsidRPr="00582481" w:rsidRDefault="008B547F" w:rsidP="008B547F">
            <w:pPr>
              <w:rPr>
                <w:rFonts w:cstheme="minorHAnsi"/>
                <w:sz w:val="20"/>
                <w:szCs w:val="20"/>
              </w:rPr>
            </w:pPr>
            <w:r w:rsidRPr="00582481">
              <w:rPr>
                <w:rFonts w:cstheme="minorHAnsi"/>
                <w:sz w:val="20"/>
                <w:szCs w:val="20"/>
              </w:rPr>
              <w:t>The government will develop accessibility standards in the following six areas:</w:t>
            </w:r>
          </w:p>
          <w:p w14:paraId="3562B902" w14:textId="1ADF9740" w:rsidR="008B547F" w:rsidRPr="00582481" w:rsidRDefault="008B547F" w:rsidP="008B547F">
            <w:pPr>
              <w:rPr>
                <w:rFonts w:cstheme="minorHAnsi"/>
                <w:sz w:val="20"/>
                <w:szCs w:val="20"/>
              </w:rPr>
            </w:pPr>
            <w:r w:rsidRPr="00582481">
              <w:rPr>
                <w:rFonts w:cstheme="minorHAnsi"/>
                <w:sz w:val="20"/>
                <w:szCs w:val="20"/>
              </w:rPr>
              <w:t>Built Environment, Education, Employment, Goods and Services, Information and Communication, Transportation</w:t>
            </w:r>
          </w:p>
        </w:tc>
        <w:tc>
          <w:tcPr>
            <w:tcW w:w="1890" w:type="dxa"/>
          </w:tcPr>
          <w:p w14:paraId="0EBA30F8" w14:textId="77777777" w:rsidR="008B547F" w:rsidRPr="00582481" w:rsidRDefault="008B547F" w:rsidP="008B547F">
            <w:pPr>
              <w:rPr>
                <w:rFonts w:cstheme="minorHAnsi"/>
                <w:sz w:val="20"/>
                <w:szCs w:val="20"/>
              </w:rPr>
            </w:pPr>
            <w:r w:rsidRPr="00582481">
              <w:rPr>
                <w:rFonts w:cstheme="minorHAnsi"/>
                <w:sz w:val="20"/>
                <w:szCs w:val="20"/>
              </w:rPr>
              <w:t>-</w:t>
            </w:r>
            <w:r w:rsidRPr="00582481">
              <w:rPr>
                <w:rFonts w:cstheme="minorHAnsi"/>
              </w:rPr>
              <w:t xml:space="preserve"> </w:t>
            </w:r>
            <w:r w:rsidRPr="00582481">
              <w:rPr>
                <w:rFonts w:cstheme="minorHAnsi"/>
                <w:sz w:val="20"/>
                <w:szCs w:val="20"/>
              </w:rPr>
              <w:t>Almost 1 in 5 (19%) Nova Scotians age 15 years and older identify as having a disability (largest percentage of any Canadian province)</w:t>
            </w:r>
          </w:p>
          <w:p w14:paraId="27605A4B" w14:textId="17F54ED9" w:rsidR="008B547F" w:rsidRPr="00582481" w:rsidRDefault="008B547F" w:rsidP="008B547F">
            <w:pPr>
              <w:rPr>
                <w:rFonts w:cstheme="minorHAnsi"/>
                <w:sz w:val="20"/>
                <w:szCs w:val="20"/>
              </w:rPr>
            </w:pPr>
            <w:r w:rsidRPr="00582481">
              <w:rPr>
                <w:rFonts w:cstheme="minorHAnsi"/>
                <w:sz w:val="20"/>
                <w:szCs w:val="20"/>
              </w:rPr>
              <w:t>-29.9% of questionnaire respondents said standards should be developed for the built environment first, followed by education (19.9%) and employment (19.1%)</w:t>
            </w:r>
          </w:p>
        </w:tc>
        <w:tc>
          <w:tcPr>
            <w:tcW w:w="1620" w:type="dxa"/>
          </w:tcPr>
          <w:p w14:paraId="38DE8983" w14:textId="77777777" w:rsidR="008B547F" w:rsidRPr="00582481" w:rsidRDefault="008B547F" w:rsidP="008B547F">
            <w:pPr>
              <w:rPr>
                <w:rFonts w:cstheme="minorHAnsi"/>
                <w:sz w:val="20"/>
                <w:szCs w:val="20"/>
              </w:rPr>
            </w:pPr>
            <w:r w:rsidRPr="00582481">
              <w:rPr>
                <w:rFonts w:cstheme="minorHAnsi"/>
                <w:sz w:val="20"/>
                <w:szCs w:val="20"/>
              </w:rPr>
              <w:t>Detailed Meaning of Accessibility (Inclusive and Equitable, Barrier-Free, Safe and Respectful</w:t>
            </w:r>
          </w:p>
          <w:p w14:paraId="3674BD8C" w14:textId="4C4E46A6" w:rsidR="008B547F" w:rsidRPr="00582481" w:rsidRDefault="008B547F" w:rsidP="008B547F">
            <w:pPr>
              <w:rPr>
                <w:rFonts w:cstheme="minorHAnsi"/>
                <w:sz w:val="20"/>
                <w:szCs w:val="20"/>
              </w:rPr>
            </w:pPr>
            <w:r w:rsidRPr="00582481">
              <w:rPr>
                <w:rFonts w:cstheme="minorHAnsi"/>
                <w:sz w:val="20"/>
                <w:szCs w:val="20"/>
              </w:rPr>
              <w:t>Educated and Aware, Proactive)</w:t>
            </w:r>
          </w:p>
        </w:tc>
        <w:tc>
          <w:tcPr>
            <w:tcW w:w="1800" w:type="dxa"/>
          </w:tcPr>
          <w:p w14:paraId="37987695" w14:textId="71F922E5" w:rsidR="008B547F" w:rsidRPr="00582481" w:rsidRDefault="008B547F" w:rsidP="008B547F">
            <w:pPr>
              <w:rPr>
                <w:rFonts w:cstheme="minorHAnsi"/>
                <w:sz w:val="20"/>
                <w:szCs w:val="20"/>
              </w:rPr>
            </w:pPr>
            <w:r w:rsidRPr="00582481">
              <w:rPr>
                <w:rFonts w:cstheme="minorHAnsi"/>
                <w:sz w:val="20"/>
                <w:szCs w:val="20"/>
              </w:rPr>
              <w:t>In implementation</w:t>
            </w:r>
          </w:p>
        </w:tc>
      </w:tr>
      <w:tr w:rsidR="008B547F" w:rsidRPr="00582481" w14:paraId="3AD2D531" w14:textId="77777777" w:rsidTr="008B547F">
        <w:trPr>
          <w:cantSplit/>
          <w:trHeight w:val="2267"/>
        </w:trPr>
        <w:tc>
          <w:tcPr>
            <w:tcW w:w="1353" w:type="dxa"/>
          </w:tcPr>
          <w:p w14:paraId="468FA5BB" w14:textId="1468E8B6" w:rsidR="008B547F" w:rsidRPr="000B12DA" w:rsidRDefault="008B547F" w:rsidP="008B547F">
            <w:pPr>
              <w:rPr>
                <w:rStyle w:val="Heading3Char"/>
                <w:rFonts w:asciiTheme="minorHAnsi" w:hAnsiTheme="minorHAnsi" w:cstheme="minorHAnsi"/>
                <w:b/>
                <w:bCs/>
                <w:color w:val="auto"/>
              </w:rPr>
            </w:pPr>
            <w:r w:rsidRPr="000B12DA">
              <w:rPr>
                <w:rStyle w:val="Heading3Char"/>
                <w:rFonts w:asciiTheme="minorHAnsi" w:hAnsiTheme="minorHAnsi" w:cstheme="minorHAnsi"/>
                <w:b/>
                <w:bCs/>
                <w:color w:val="auto"/>
              </w:rPr>
              <w:lastRenderedPageBreak/>
              <w:t>Nova Scotia</w:t>
            </w:r>
            <w:r w:rsidRPr="00582481">
              <w:rPr>
                <w:rFonts w:cstheme="minorHAnsi"/>
                <w:sz w:val="20"/>
                <w:szCs w:val="20"/>
              </w:rPr>
              <w:t xml:space="preserve"> (prepared in 2013 by the Government of Nova Scotia)</w:t>
            </w:r>
          </w:p>
        </w:tc>
        <w:tc>
          <w:tcPr>
            <w:tcW w:w="1800" w:type="dxa"/>
          </w:tcPr>
          <w:p w14:paraId="0FD5DCEA" w14:textId="17B445DE" w:rsidR="008B547F" w:rsidRPr="008B547F" w:rsidRDefault="008B547F" w:rsidP="008B547F">
            <w:pPr>
              <w:pStyle w:val="Heading4"/>
              <w:rPr>
                <w:rFonts w:asciiTheme="minorHAnsi" w:hAnsiTheme="minorHAnsi" w:cstheme="minorHAnsi"/>
                <w:b/>
                <w:bCs/>
                <w:i w:val="0"/>
                <w:iCs w:val="0"/>
                <w:color w:val="auto"/>
              </w:rPr>
            </w:pPr>
            <w:r w:rsidRPr="008B547F">
              <w:rPr>
                <w:rFonts w:asciiTheme="minorHAnsi" w:hAnsiTheme="minorHAnsi" w:cstheme="minorHAnsi"/>
                <w:b/>
                <w:bCs/>
                <w:i w:val="0"/>
                <w:iCs w:val="0"/>
                <w:color w:val="auto"/>
              </w:rPr>
              <w:t>Raising the Bar: A strategy to build diversity and inclusion in the public service (2014-2018)</w:t>
            </w:r>
          </w:p>
        </w:tc>
        <w:tc>
          <w:tcPr>
            <w:tcW w:w="2430" w:type="dxa"/>
          </w:tcPr>
          <w:p w14:paraId="79E90E84" w14:textId="77777777" w:rsidR="008B547F" w:rsidRPr="00582481" w:rsidRDefault="008B547F" w:rsidP="008B547F">
            <w:pPr>
              <w:rPr>
                <w:rFonts w:cstheme="minorHAnsi"/>
                <w:sz w:val="20"/>
                <w:szCs w:val="20"/>
              </w:rPr>
            </w:pPr>
            <w:r w:rsidRPr="00582481">
              <w:rPr>
                <w:rFonts w:cstheme="minorHAnsi"/>
                <w:sz w:val="20"/>
                <w:szCs w:val="20"/>
              </w:rPr>
              <w:t xml:space="preserve">Mission: Work collaboratively to attract, develop, and retain skilled people that are representative of all our communities </w:t>
            </w:r>
          </w:p>
          <w:p w14:paraId="1A88B8A7" w14:textId="7CDED8FB" w:rsidR="008B547F" w:rsidRPr="00582481" w:rsidRDefault="008B547F" w:rsidP="008B547F">
            <w:pPr>
              <w:rPr>
                <w:rFonts w:cstheme="minorHAnsi"/>
                <w:sz w:val="20"/>
                <w:szCs w:val="20"/>
              </w:rPr>
            </w:pPr>
            <w:r w:rsidRPr="00582481">
              <w:rPr>
                <w:rFonts w:cstheme="minorHAnsi"/>
                <w:sz w:val="20"/>
                <w:szCs w:val="20"/>
              </w:rPr>
              <w:t xml:space="preserve">Values: We value respect, integrity, diversity, accountability, and the public good. </w:t>
            </w:r>
          </w:p>
        </w:tc>
        <w:tc>
          <w:tcPr>
            <w:tcW w:w="1890" w:type="dxa"/>
          </w:tcPr>
          <w:p w14:paraId="0A20A8A0" w14:textId="0C371F48" w:rsidR="008B547F" w:rsidRPr="00582481" w:rsidRDefault="008B547F" w:rsidP="008B547F">
            <w:pPr>
              <w:rPr>
                <w:rFonts w:cstheme="minorHAnsi"/>
                <w:sz w:val="20"/>
                <w:szCs w:val="20"/>
              </w:rPr>
            </w:pPr>
            <w:r w:rsidRPr="00582481">
              <w:rPr>
                <w:rFonts w:cstheme="minorHAnsi"/>
                <w:sz w:val="20"/>
                <w:szCs w:val="20"/>
              </w:rPr>
              <w:t xml:space="preserve">Public Service Commission collaborated with the Human Resource Policy and Programs Working Group, the Diversity and Social Equity Steering Committee, the Diversity Round Table, employee networks, and the Public Service Renewal Team </w:t>
            </w:r>
          </w:p>
        </w:tc>
        <w:tc>
          <w:tcPr>
            <w:tcW w:w="1710" w:type="dxa"/>
          </w:tcPr>
          <w:p w14:paraId="39B7B7A4" w14:textId="77777777" w:rsidR="008B547F" w:rsidRPr="00582481" w:rsidRDefault="008B547F" w:rsidP="008B547F">
            <w:pPr>
              <w:rPr>
                <w:rFonts w:cstheme="minorHAnsi"/>
                <w:sz w:val="20"/>
                <w:szCs w:val="20"/>
              </w:rPr>
            </w:pPr>
            <w:r w:rsidRPr="00582481">
              <w:rPr>
                <w:rFonts w:cstheme="minorHAnsi"/>
                <w:sz w:val="20"/>
                <w:szCs w:val="20"/>
              </w:rPr>
              <w:t>Strategic Goals:</w:t>
            </w:r>
          </w:p>
          <w:p w14:paraId="21F1C051" w14:textId="580CE80B" w:rsidR="008B547F" w:rsidRPr="00582481" w:rsidRDefault="008B547F" w:rsidP="008B547F">
            <w:pPr>
              <w:rPr>
                <w:rFonts w:cstheme="minorHAnsi"/>
                <w:sz w:val="20"/>
                <w:szCs w:val="20"/>
              </w:rPr>
            </w:pPr>
            <w:r w:rsidRPr="00582481">
              <w:rPr>
                <w:rFonts w:cstheme="minorHAnsi"/>
                <w:sz w:val="20"/>
                <w:szCs w:val="20"/>
              </w:rPr>
              <w:t>1.We demonstrate, and are accountable for, our ongoing commitment to diversity and inclusion. 2.We equitably represent the public we serve at all levels of the workforce. 3.We ensure an inclusive and respectful workplace, free of harassment and discrimination. 4.We are a culturally competent workforce that values diversity and inclusion.</w:t>
            </w:r>
          </w:p>
        </w:tc>
        <w:tc>
          <w:tcPr>
            <w:tcW w:w="1890" w:type="dxa"/>
          </w:tcPr>
          <w:p w14:paraId="526BB41F" w14:textId="022EC332" w:rsidR="008B547F" w:rsidRPr="00582481" w:rsidRDefault="008B547F" w:rsidP="008B547F">
            <w:pPr>
              <w:rPr>
                <w:rFonts w:cstheme="minorHAnsi"/>
                <w:sz w:val="20"/>
                <w:szCs w:val="20"/>
              </w:rPr>
            </w:pPr>
            <w:r w:rsidRPr="00582481">
              <w:rPr>
                <w:rFonts w:cstheme="minorHAnsi"/>
                <w:sz w:val="20"/>
                <w:szCs w:val="20"/>
              </w:rPr>
              <w:t>N/A</w:t>
            </w:r>
          </w:p>
        </w:tc>
        <w:tc>
          <w:tcPr>
            <w:tcW w:w="1620" w:type="dxa"/>
          </w:tcPr>
          <w:p w14:paraId="08E9FB28" w14:textId="5702F66E" w:rsidR="008B547F" w:rsidRPr="00582481" w:rsidRDefault="008B547F" w:rsidP="008B547F">
            <w:pPr>
              <w:rPr>
                <w:rFonts w:cstheme="minorHAnsi"/>
                <w:sz w:val="20"/>
                <w:szCs w:val="20"/>
              </w:rPr>
            </w:pPr>
            <w:r w:rsidRPr="00582481">
              <w:rPr>
                <w:rFonts w:cstheme="minorHAnsi"/>
                <w:sz w:val="20"/>
                <w:szCs w:val="20"/>
              </w:rPr>
              <w:t>N/A</w:t>
            </w:r>
          </w:p>
        </w:tc>
        <w:tc>
          <w:tcPr>
            <w:tcW w:w="1800" w:type="dxa"/>
          </w:tcPr>
          <w:p w14:paraId="1354E49B" w14:textId="27B4CCAE" w:rsidR="008B547F" w:rsidRPr="00582481" w:rsidRDefault="008B547F" w:rsidP="008B547F">
            <w:pPr>
              <w:rPr>
                <w:rFonts w:cstheme="minorHAnsi"/>
                <w:sz w:val="20"/>
                <w:szCs w:val="20"/>
              </w:rPr>
            </w:pPr>
            <w:r w:rsidRPr="00582481">
              <w:rPr>
                <w:rFonts w:cstheme="minorHAnsi"/>
                <w:sz w:val="20"/>
                <w:szCs w:val="20"/>
              </w:rPr>
              <w:t>In implementation</w:t>
            </w:r>
          </w:p>
        </w:tc>
      </w:tr>
      <w:tr w:rsidR="008B547F" w:rsidRPr="00582481" w14:paraId="016B73CF" w14:textId="77777777" w:rsidTr="008B547F">
        <w:trPr>
          <w:trHeight w:val="2267"/>
        </w:trPr>
        <w:tc>
          <w:tcPr>
            <w:tcW w:w="1353" w:type="dxa"/>
          </w:tcPr>
          <w:p w14:paraId="3CD92AF4" w14:textId="5E1CFD36" w:rsidR="008B547F" w:rsidRPr="000B12DA" w:rsidRDefault="008B547F" w:rsidP="008B547F">
            <w:pPr>
              <w:rPr>
                <w:rStyle w:val="Heading3Char"/>
                <w:rFonts w:asciiTheme="minorHAnsi" w:hAnsiTheme="minorHAnsi" w:cstheme="minorHAnsi"/>
                <w:b/>
                <w:bCs/>
                <w:color w:val="auto"/>
              </w:rPr>
            </w:pPr>
            <w:r w:rsidRPr="000B12DA">
              <w:rPr>
                <w:rStyle w:val="Heading3Char"/>
                <w:rFonts w:asciiTheme="minorHAnsi" w:hAnsiTheme="minorHAnsi" w:cstheme="minorHAnsi"/>
                <w:b/>
                <w:bCs/>
                <w:color w:val="auto"/>
              </w:rPr>
              <w:lastRenderedPageBreak/>
              <w:t>Nova Scotia</w:t>
            </w:r>
            <w:r w:rsidRPr="00582481">
              <w:rPr>
                <w:rFonts w:cstheme="minorHAnsi"/>
                <w:sz w:val="20"/>
                <w:szCs w:val="20"/>
              </w:rPr>
              <w:t xml:space="preserve"> (prepared in 2011 by the Government of Nova Scotia)</w:t>
            </w:r>
          </w:p>
        </w:tc>
        <w:tc>
          <w:tcPr>
            <w:tcW w:w="1800" w:type="dxa"/>
          </w:tcPr>
          <w:p w14:paraId="72519DDE" w14:textId="192ADDD5" w:rsidR="008B547F" w:rsidRPr="008B547F" w:rsidRDefault="008B547F" w:rsidP="008B547F">
            <w:pPr>
              <w:pStyle w:val="Heading4"/>
              <w:rPr>
                <w:rFonts w:asciiTheme="minorHAnsi" w:hAnsiTheme="minorHAnsi" w:cstheme="minorHAnsi"/>
                <w:b/>
                <w:bCs/>
                <w:i w:val="0"/>
                <w:iCs w:val="0"/>
                <w:color w:val="auto"/>
              </w:rPr>
            </w:pPr>
            <w:r w:rsidRPr="008B547F">
              <w:rPr>
                <w:rFonts w:asciiTheme="minorHAnsi" w:hAnsiTheme="minorHAnsi" w:cstheme="minorHAnsi"/>
                <w:b/>
                <w:bCs/>
                <w:i w:val="0"/>
                <w:iCs w:val="0"/>
                <w:color w:val="auto"/>
              </w:rPr>
              <w:t>Nova Scotia’s Workforce Strategy</w:t>
            </w:r>
          </w:p>
        </w:tc>
        <w:tc>
          <w:tcPr>
            <w:tcW w:w="2430" w:type="dxa"/>
          </w:tcPr>
          <w:p w14:paraId="40223593" w14:textId="1C8CE65C" w:rsidR="008B547F" w:rsidRPr="00582481" w:rsidRDefault="008B547F" w:rsidP="008B547F">
            <w:pPr>
              <w:rPr>
                <w:rFonts w:cstheme="minorHAnsi"/>
                <w:sz w:val="20"/>
                <w:szCs w:val="20"/>
              </w:rPr>
            </w:pPr>
            <w:r w:rsidRPr="00582481">
              <w:rPr>
                <w:rFonts w:cstheme="minorHAnsi"/>
                <w:sz w:val="20"/>
                <w:szCs w:val="20"/>
              </w:rPr>
              <w:t>-Action items under three priority areas: increasing the amount of workplace learning and skills development; helping Nova Scotians to prepare for and connect with good jobs; and growing the workforce</w:t>
            </w:r>
          </w:p>
        </w:tc>
        <w:tc>
          <w:tcPr>
            <w:tcW w:w="1890" w:type="dxa"/>
          </w:tcPr>
          <w:p w14:paraId="7B6E1FD7" w14:textId="646E10D1" w:rsidR="008B547F" w:rsidRPr="00582481" w:rsidRDefault="008B547F" w:rsidP="008B547F">
            <w:pPr>
              <w:rPr>
                <w:rFonts w:cstheme="minorHAnsi"/>
                <w:sz w:val="20"/>
                <w:szCs w:val="20"/>
              </w:rPr>
            </w:pPr>
            <w:r w:rsidRPr="00582481">
              <w:rPr>
                <w:rFonts w:cstheme="minorHAnsi"/>
                <w:sz w:val="20"/>
                <w:szCs w:val="20"/>
              </w:rPr>
              <w:t>N/A</w:t>
            </w:r>
          </w:p>
        </w:tc>
        <w:tc>
          <w:tcPr>
            <w:tcW w:w="1710" w:type="dxa"/>
          </w:tcPr>
          <w:p w14:paraId="4AC87A55" w14:textId="6D880102" w:rsidR="008B547F" w:rsidRPr="00582481" w:rsidRDefault="008B547F" w:rsidP="008B547F">
            <w:pPr>
              <w:rPr>
                <w:rFonts w:cstheme="minorHAnsi"/>
                <w:sz w:val="20"/>
                <w:szCs w:val="20"/>
              </w:rPr>
            </w:pPr>
            <w:r w:rsidRPr="00582481">
              <w:rPr>
                <w:rFonts w:cstheme="minorHAnsi"/>
                <w:sz w:val="20"/>
                <w:szCs w:val="20"/>
              </w:rPr>
              <w:t>Each of the 3 items contains priority action items</w:t>
            </w:r>
          </w:p>
        </w:tc>
        <w:tc>
          <w:tcPr>
            <w:tcW w:w="1890" w:type="dxa"/>
          </w:tcPr>
          <w:p w14:paraId="0809F935" w14:textId="159B96D3" w:rsidR="008B547F" w:rsidRPr="00582481" w:rsidRDefault="008B547F" w:rsidP="008B547F">
            <w:pPr>
              <w:rPr>
                <w:rFonts w:cstheme="minorHAnsi"/>
                <w:sz w:val="20"/>
                <w:szCs w:val="20"/>
              </w:rPr>
            </w:pPr>
            <w:r w:rsidRPr="00582481">
              <w:rPr>
                <w:rFonts w:cstheme="minorHAnsi"/>
                <w:sz w:val="20"/>
                <w:szCs w:val="20"/>
              </w:rPr>
              <w:t>-</w:t>
            </w:r>
            <w:r w:rsidRPr="00582481">
              <w:rPr>
                <w:rFonts w:cstheme="minorHAnsi"/>
              </w:rPr>
              <w:t xml:space="preserve"> </w:t>
            </w:r>
            <w:r w:rsidRPr="00582481">
              <w:rPr>
                <w:rFonts w:cstheme="minorHAnsi"/>
                <w:sz w:val="20"/>
                <w:szCs w:val="20"/>
              </w:rPr>
              <w:t>Nova Scotia has one of the lowest levels of labour market participation in Canada.</w:t>
            </w:r>
          </w:p>
        </w:tc>
        <w:tc>
          <w:tcPr>
            <w:tcW w:w="1620" w:type="dxa"/>
          </w:tcPr>
          <w:p w14:paraId="01AA1011" w14:textId="0CF5E21D" w:rsidR="008B547F" w:rsidRPr="00582481" w:rsidRDefault="008B547F" w:rsidP="008B547F">
            <w:pPr>
              <w:rPr>
                <w:rFonts w:cstheme="minorHAnsi"/>
                <w:sz w:val="20"/>
                <w:szCs w:val="20"/>
              </w:rPr>
            </w:pPr>
            <w:r w:rsidRPr="00582481">
              <w:rPr>
                <w:rFonts w:cstheme="minorHAnsi"/>
                <w:sz w:val="20"/>
                <w:szCs w:val="20"/>
              </w:rPr>
              <w:t>N/A</w:t>
            </w:r>
          </w:p>
        </w:tc>
        <w:tc>
          <w:tcPr>
            <w:tcW w:w="1800" w:type="dxa"/>
          </w:tcPr>
          <w:p w14:paraId="74371D49" w14:textId="4FF0349F" w:rsidR="008B547F" w:rsidRPr="00582481" w:rsidRDefault="008B547F" w:rsidP="008B547F">
            <w:pPr>
              <w:rPr>
                <w:rFonts w:cstheme="minorHAnsi"/>
                <w:sz w:val="20"/>
                <w:szCs w:val="20"/>
              </w:rPr>
            </w:pPr>
            <w:r w:rsidRPr="00582481">
              <w:rPr>
                <w:rFonts w:cstheme="minorHAnsi"/>
                <w:sz w:val="20"/>
                <w:szCs w:val="20"/>
              </w:rPr>
              <w:t>In implementation</w:t>
            </w:r>
          </w:p>
        </w:tc>
      </w:tr>
      <w:tr w:rsidR="008B547F" w:rsidRPr="00582481" w14:paraId="1AAF484B" w14:textId="77777777" w:rsidTr="008B547F">
        <w:trPr>
          <w:trHeight w:val="2267"/>
        </w:trPr>
        <w:tc>
          <w:tcPr>
            <w:tcW w:w="1353" w:type="dxa"/>
          </w:tcPr>
          <w:p w14:paraId="5691CF3C" w14:textId="6B7AB682" w:rsidR="008B547F" w:rsidRPr="000B12DA" w:rsidRDefault="008B547F" w:rsidP="008B547F">
            <w:pPr>
              <w:rPr>
                <w:rStyle w:val="Heading3Char"/>
                <w:rFonts w:asciiTheme="minorHAnsi" w:hAnsiTheme="minorHAnsi" w:cstheme="minorHAnsi"/>
                <w:b/>
                <w:bCs/>
                <w:color w:val="auto"/>
              </w:rPr>
            </w:pPr>
            <w:r w:rsidRPr="000B12DA">
              <w:rPr>
                <w:rStyle w:val="Heading3Char"/>
                <w:rFonts w:asciiTheme="minorHAnsi" w:hAnsiTheme="minorHAnsi" w:cstheme="minorHAnsi"/>
                <w:b/>
                <w:bCs/>
                <w:color w:val="auto"/>
              </w:rPr>
              <w:t>Newfoundland and Labrador</w:t>
            </w:r>
            <w:r w:rsidRPr="00582481">
              <w:rPr>
                <w:rFonts w:cstheme="minorHAnsi"/>
                <w:sz w:val="20"/>
                <w:szCs w:val="20"/>
              </w:rPr>
              <w:t xml:space="preserve"> (strategy released in 2012 by Newfoundland and Labrador’s Department of Children, Seniors, Social Development)</w:t>
            </w:r>
          </w:p>
        </w:tc>
        <w:tc>
          <w:tcPr>
            <w:tcW w:w="1800" w:type="dxa"/>
          </w:tcPr>
          <w:p w14:paraId="32C81786" w14:textId="5DB888B8" w:rsidR="008B547F" w:rsidRPr="008B547F" w:rsidRDefault="008B547F" w:rsidP="008B547F">
            <w:pPr>
              <w:pStyle w:val="Heading4"/>
              <w:rPr>
                <w:rFonts w:asciiTheme="minorHAnsi" w:hAnsiTheme="minorHAnsi" w:cstheme="minorHAnsi"/>
                <w:b/>
                <w:bCs/>
                <w:i w:val="0"/>
                <w:iCs w:val="0"/>
                <w:color w:val="auto"/>
              </w:rPr>
            </w:pPr>
            <w:r w:rsidRPr="008B547F">
              <w:rPr>
                <w:rFonts w:asciiTheme="minorHAnsi" w:hAnsiTheme="minorHAnsi" w:cstheme="minorHAnsi"/>
                <w:b/>
                <w:bCs/>
                <w:i w:val="0"/>
                <w:iCs w:val="0"/>
                <w:color w:val="auto"/>
              </w:rPr>
              <w:t>Access. Inclusion. Equality. A Provincial Strategy for the Inclusion of Persons with Disabilities in Newfoundland and Labrador.</w:t>
            </w:r>
          </w:p>
        </w:tc>
        <w:tc>
          <w:tcPr>
            <w:tcW w:w="2430" w:type="dxa"/>
          </w:tcPr>
          <w:p w14:paraId="0B61DF7A" w14:textId="77777777" w:rsidR="008B547F" w:rsidRPr="00582481" w:rsidRDefault="008B547F" w:rsidP="008B547F">
            <w:pPr>
              <w:rPr>
                <w:rFonts w:cstheme="minorHAnsi"/>
                <w:sz w:val="20"/>
                <w:szCs w:val="20"/>
              </w:rPr>
            </w:pPr>
            <w:r w:rsidRPr="00582481">
              <w:rPr>
                <w:rFonts w:cstheme="minorHAnsi"/>
                <w:sz w:val="20"/>
                <w:szCs w:val="20"/>
              </w:rPr>
              <w:t xml:space="preserve">-will remove and prevent barriers. </w:t>
            </w:r>
          </w:p>
          <w:p w14:paraId="44C6FCA0" w14:textId="77777777" w:rsidR="008B547F" w:rsidRPr="00582481" w:rsidRDefault="008B547F" w:rsidP="008B547F">
            <w:pPr>
              <w:rPr>
                <w:rFonts w:cstheme="minorHAnsi"/>
                <w:sz w:val="20"/>
                <w:szCs w:val="20"/>
              </w:rPr>
            </w:pPr>
            <w:r w:rsidRPr="00582481">
              <w:rPr>
                <w:rFonts w:cstheme="minorHAnsi"/>
                <w:sz w:val="20"/>
                <w:szCs w:val="20"/>
              </w:rPr>
              <w:t>-provides a framework to guide Provincial Government planning</w:t>
            </w:r>
          </w:p>
          <w:p w14:paraId="20D64D89" w14:textId="77777777" w:rsidR="008B547F" w:rsidRPr="00582481" w:rsidRDefault="008B547F" w:rsidP="008B547F">
            <w:pPr>
              <w:rPr>
                <w:rFonts w:cstheme="minorHAnsi"/>
                <w:sz w:val="20"/>
                <w:szCs w:val="20"/>
              </w:rPr>
            </w:pPr>
            <w:r w:rsidRPr="00582481">
              <w:rPr>
                <w:rFonts w:cstheme="minorHAnsi"/>
                <w:sz w:val="20"/>
                <w:szCs w:val="20"/>
              </w:rPr>
              <w:t>-endorses guiding principles and identifies five strategic directions for moving forward</w:t>
            </w:r>
          </w:p>
          <w:p w14:paraId="413B4AA5" w14:textId="58693837" w:rsidR="008B547F" w:rsidRPr="00582481" w:rsidRDefault="008B547F" w:rsidP="008B547F">
            <w:pPr>
              <w:rPr>
                <w:rFonts w:cstheme="minorHAnsi"/>
                <w:sz w:val="20"/>
                <w:szCs w:val="20"/>
              </w:rPr>
            </w:pPr>
            <w:r w:rsidRPr="00582481">
              <w:rPr>
                <w:rFonts w:cstheme="minorHAnsi"/>
                <w:sz w:val="20"/>
                <w:szCs w:val="20"/>
              </w:rPr>
              <w:t>-based on a social model of disability, aligned with the Newfoundland and Labrador Human Rights Act, the Canadian Charter of Rights and Freedoms and the United Nations Convention on the Rights of Persons with Disabilities</w:t>
            </w:r>
          </w:p>
        </w:tc>
        <w:tc>
          <w:tcPr>
            <w:tcW w:w="1890" w:type="dxa"/>
          </w:tcPr>
          <w:p w14:paraId="1AAB630D" w14:textId="579E7FB4" w:rsidR="008B547F" w:rsidRPr="00582481" w:rsidRDefault="008B547F" w:rsidP="008B547F">
            <w:pPr>
              <w:rPr>
                <w:rFonts w:cstheme="minorHAnsi"/>
                <w:sz w:val="20"/>
                <w:szCs w:val="20"/>
              </w:rPr>
            </w:pPr>
            <w:r w:rsidRPr="00582481">
              <w:rPr>
                <w:rFonts w:cstheme="minorHAnsi"/>
                <w:sz w:val="20"/>
                <w:szCs w:val="20"/>
              </w:rPr>
              <w:t>Consultations held in 2010 with over 600 individuals and organization focused on solutions needed to address barriers</w:t>
            </w:r>
          </w:p>
        </w:tc>
        <w:tc>
          <w:tcPr>
            <w:tcW w:w="1710" w:type="dxa"/>
          </w:tcPr>
          <w:p w14:paraId="7696018A" w14:textId="77777777" w:rsidR="008B547F" w:rsidRPr="00582481" w:rsidRDefault="008B547F" w:rsidP="008B547F">
            <w:pPr>
              <w:rPr>
                <w:rFonts w:cstheme="minorHAnsi"/>
                <w:sz w:val="20"/>
                <w:szCs w:val="20"/>
              </w:rPr>
            </w:pPr>
            <w:r w:rsidRPr="00582481">
              <w:rPr>
                <w:rFonts w:cstheme="minorHAnsi"/>
                <w:sz w:val="20"/>
                <w:szCs w:val="20"/>
              </w:rPr>
              <w:t xml:space="preserve">Contains Vision, Guiding Principles, and 5 Strategic Directions: </w:t>
            </w:r>
          </w:p>
          <w:p w14:paraId="73C61393" w14:textId="77777777" w:rsidR="008B547F" w:rsidRPr="00582481" w:rsidRDefault="008B547F" w:rsidP="008B547F">
            <w:pPr>
              <w:rPr>
                <w:rFonts w:cstheme="minorHAnsi"/>
                <w:sz w:val="20"/>
                <w:szCs w:val="20"/>
              </w:rPr>
            </w:pPr>
            <w:r w:rsidRPr="00582481">
              <w:rPr>
                <w:rFonts w:cstheme="minorHAnsi"/>
                <w:sz w:val="20"/>
                <w:szCs w:val="20"/>
              </w:rPr>
              <w:t>1.Creating a Positive Image of Disability</w:t>
            </w:r>
          </w:p>
          <w:p w14:paraId="10E9E5C4" w14:textId="77777777" w:rsidR="008B547F" w:rsidRPr="00582481" w:rsidRDefault="008B547F" w:rsidP="008B547F">
            <w:pPr>
              <w:rPr>
                <w:rFonts w:cstheme="minorHAnsi"/>
                <w:sz w:val="20"/>
                <w:szCs w:val="20"/>
              </w:rPr>
            </w:pPr>
            <w:r w:rsidRPr="00582481">
              <w:rPr>
                <w:rFonts w:cstheme="minorHAnsi"/>
                <w:sz w:val="20"/>
                <w:szCs w:val="20"/>
              </w:rPr>
              <w:t>2.Moving Forward Together: Nothing About Us Without Us</w:t>
            </w:r>
          </w:p>
          <w:p w14:paraId="78205150" w14:textId="77777777" w:rsidR="008B547F" w:rsidRPr="00582481" w:rsidRDefault="008B547F" w:rsidP="008B547F">
            <w:pPr>
              <w:rPr>
                <w:rFonts w:cstheme="minorHAnsi"/>
                <w:sz w:val="20"/>
                <w:szCs w:val="20"/>
              </w:rPr>
            </w:pPr>
            <w:r w:rsidRPr="00582481">
              <w:rPr>
                <w:rFonts w:cstheme="minorHAnsi"/>
                <w:sz w:val="20"/>
                <w:szCs w:val="20"/>
              </w:rPr>
              <w:t>3.Accessibility for All in the Built Environment</w:t>
            </w:r>
          </w:p>
          <w:p w14:paraId="0ADC6459" w14:textId="77777777" w:rsidR="008B547F" w:rsidRPr="00582481" w:rsidRDefault="008B547F" w:rsidP="008B547F">
            <w:pPr>
              <w:rPr>
                <w:rFonts w:cstheme="minorHAnsi"/>
                <w:sz w:val="20"/>
                <w:szCs w:val="20"/>
              </w:rPr>
            </w:pPr>
            <w:r w:rsidRPr="00582481">
              <w:rPr>
                <w:rFonts w:cstheme="minorHAnsi"/>
                <w:sz w:val="20"/>
                <w:szCs w:val="20"/>
              </w:rPr>
              <w:t>4.Strengthening Disability Related Supports</w:t>
            </w:r>
          </w:p>
          <w:p w14:paraId="3C03ABA9" w14:textId="44026E97" w:rsidR="008B547F" w:rsidRPr="00582481" w:rsidRDefault="008B547F" w:rsidP="008B547F">
            <w:pPr>
              <w:rPr>
                <w:rFonts w:cstheme="minorHAnsi"/>
                <w:sz w:val="20"/>
                <w:szCs w:val="20"/>
              </w:rPr>
            </w:pPr>
            <w:r w:rsidRPr="00582481">
              <w:rPr>
                <w:rFonts w:cstheme="minorHAnsi"/>
                <w:sz w:val="20"/>
                <w:szCs w:val="20"/>
              </w:rPr>
              <w:t>5.Delivering Services with Dignity, Fairness and Respect</w:t>
            </w:r>
          </w:p>
        </w:tc>
        <w:tc>
          <w:tcPr>
            <w:tcW w:w="1890" w:type="dxa"/>
          </w:tcPr>
          <w:p w14:paraId="73DD463D" w14:textId="2C5982E7" w:rsidR="008B547F" w:rsidRPr="00582481" w:rsidRDefault="008B547F" w:rsidP="008B547F">
            <w:pPr>
              <w:rPr>
                <w:rFonts w:cstheme="minorHAnsi"/>
                <w:sz w:val="20"/>
                <w:szCs w:val="20"/>
              </w:rPr>
            </w:pPr>
            <w:r w:rsidRPr="00582481">
              <w:rPr>
                <w:rFonts w:cstheme="minorHAnsi"/>
                <w:sz w:val="20"/>
                <w:szCs w:val="20"/>
              </w:rPr>
              <w:t>N/A</w:t>
            </w:r>
          </w:p>
        </w:tc>
        <w:tc>
          <w:tcPr>
            <w:tcW w:w="1620" w:type="dxa"/>
          </w:tcPr>
          <w:p w14:paraId="0ADC75D2" w14:textId="00FFAEEA" w:rsidR="008B547F" w:rsidRPr="00582481" w:rsidRDefault="008B547F" w:rsidP="008B547F">
            <w:pPr>
              <w:rPr>
                <w:rFonts w:cstheme="minorHAnsi"/>
                <w:sz w:val="20"/>
                <w:szCs w:val="20"/>
              </w:rPr>
            </w:pPr>
            <w:r w:rsidRPr="00582481">
              <w:rPr>
                <w:rFonts w:cstheme="minorHAnsi"/>
                <w:sz w:val="20"/>
                <w:szCs w:val="20"/>
              </w:rPr>
              <w:t>N/A</w:t>
            </w:r>
          </w:p>
        </w:tc>
        <w:tc>
          <w:tcPr>
            <w:tcW w:w="1800" w:type="dxa"/>
          </w:tcPr>
          <w:p w14:paraId="46A09CE1" w14:textId="6BE5F60F" w:rsidR="008B547F" w:rsidRPr="00582481" w:rsidRDefault="008B547F" w:rsidP="008B547F">
            <w:pPr>
              <w:rPr>
                <w:rFonts w:cstheme="minorHAnsi"/>
                <w:sz w:val="20"/>
                <w:szCs w:val="20"/>
              </w:rPr>
            </w:pPr>
            <w:r w:rsidRPr="00582481">
              <w:rPr>
                <w:rFonts w:cstheme="minorHAnsi"/>
                <w:sz w:val="20"/>
                <w:szCs w:val="20"/>
              </w:rPr>
              <w:t>In implementation 2015-2018</w:t>
            </w:r>
          </w:p>
        </w:tc>
      </w:tr>
      <w:tr w:rsidR="008B547F" w:rsidRPr="00582481" w14:paraId="2696783C" w14:textId="77777777" w:rsidTr="008B547F">
        <w:trPr>
          <w:trHeight w:val="2267"/>
        </w:trPr>
        <w:tc>
          <w:tcPr>
            <w:tcW w:w="1353" w:type="dxa"/>
          </w:tcPr>
          <w:p w14:paraId="1A936FDC" w14:textId="701DA059" w:rsidR="008B547F" w:rsidRPr="000B12DA" w:rsidRDefault="008B547F" w:rsidP="008B547F">
            <w:pPr>
              <w:rPr>
                <w:rStyle w:val="Heading3Char"/>
                <w:rFonts w:asciiTheme="minorHAnsi" w:hAnsiTheme="minorHAnsi" w:cstheme="minorHAnsi"/>
                <w:b/>
                <w:bCs/>
                <w:color w:val="auto"/>
              </w:rPr>
            </w:pPr>
            <w:r w:rsidRPr="000B12DA">
              <w:rPr>
                <w:rStyle w:val="Heading3Char"/>
                <w:rFonts w:asciiTheme="minorHAnsi" w:hAnsiTheme="minorHAnsi" w:cstheme="minorHAnsi"/>
                <w:b/>
                <w:bCs/>
                <w:color w:val="auto"/>
              </w:rPr>
              <w:lastRenderedPageBreak/>
              <w:t>Yukon</w:t>
            </w:r>
            <w:r w:rsidRPr="00582481">
              <w:rPr>
                <w:rFonts w:cstheme="minorHAnsi"/>
                <w:sz w:val="20"/>
                <w:szCs w:val="20"/>
              </w:rPr>
              <w:t xml:space="preserve"> (strategy effective on February 24, 2012, revised in January 2016 and January 2017 by the Government of Yukon)</w:t>
            </w:r>
          </w:p>
        </w:tc>
        <w:tc>
          <w:tcPr>
            <w:tcW w:w="1800" w:type="dxa"/>
          </w:tcPr>
          <w:p w14:paraId="2536FDF3" w14:textId="3B9D684C" w:rsidR="008B547F" w:rsidRPr="008B547F" w:rsidRDefault="008B547F" w:rsidP="008B547F">
            <w:pPr>
              <w:pStyle w:val="Heading4"/>
              <w:rPr>
                <w:rFonts w:asciiTheme="minorHAnsi" w:hAnsiTheme="minorHAnsi" w:cstheme="minorHAnsi"/>
                <w:b/>
                <w:bCs/>
                <w:i w:val="0"/>
                <w:iCs w:val="0"/>
                <w:color w:val="auto"/>
              </w:rPr>
            </w:pPr>
            <w:r w:rsidRPr="008B547F">
              <w:rPr>
                <w:rFonts w:asciiTheme="minorHAnsi" w:hAnsiTheme="minorHAnsi" w:cstheme="minorHAnsi"/>
                <w:b/>
                <w:bCs/>
                <w:i w:val="0"/>
                <w:iCs w:val="0"/>
                <w:color w:val="auto"/>
              </w:rPr>
              <w:t>Disability Management and Accommodation Framework</w:t>
            </w:r>
          </w:p>
        </w:tc>
        <w:tc>
          <w:tcPr>
            <w:tcW w:w="2430" w:type="dxa"/>
          </w:tcPr>
          <w:p w14:paraId="20B71017" w14:textId="77777777" w:rsidR="008B547F" w:rsidRPr="00582481" w:rsidRDefault="008B547F" w:rsidP="008B547F">
            <w:pPr>
              <w:rPr>
                <w:rFonts w:cstheme="minorHAnsi"/>
                <w:sz w:val="20"/>
                <w:szCs w:val="20"/>
              </w:rPr>
            </w:pPr>
            <w:r w:rsidRPr="00582481">
              <w:rPr>
                <w:rFonts w:cstheme="minorHAnsi"/>
                <w:sz w:val="20"/>
                <w:szCs w:val="20"/>
              </w:rPr>
              <w:t xml:space="preserve">-Includes disability management but also has information about accommodations for injured/ill workers, worker’s compensation and insurance details </w:t>
            </w:r>
          </w:p>
          <w:p w14:paraId="49B92181" w14:textId="29F10C16" w:rsidR="008B547F" w:rsidRPr="00582481" w:rsidRDefault="008B547F" w:rsidP="008B547F">
            <w:pPr>
              <w:rPr>
                <w:rFonts w:cstheme="minorHAnsi"/>
                <w:sz w:val="20"/>
                <w:szCs w:val="20"/>
              </w:rPr>
            </w:pPr>
            <w:r w:rsidRPr="00582481">
              <w:rPr>
                <w:rFonts w:cstheme="minorHAnsi"/>
                <w:sz w:val="20"/>
                <w:szCs w:val="20"/>
              </w:rPr>
              <w:t>-Includes 5 Guiding Principles: Respect for dignity, Individualized accommodation, Integration and full participation, Confidentiality and protection of privacy, Good faith</w:t>
            </w:r>
          </w:p>
        </w:tc>
        <w:tc>
          <w:tcPr>
            <w:tcW w:w="1890" w:type="dxa"/>
          </w:tcPr>
          <w:p w14:paraId="1F6977A5" w14:textId="77777777" w:rsidR="008B547F" w:rsidRPr="00582481" w:rsidRDefault="008B547F" w:rsidP="008B547F">
            <w:pPr>
              <w:rPr>
                <w:rFonts w:cstheme="minorHAnsi"/>
                <w:sz w:val="20"/>
                <w:szCs w:val="20"/>
              </w:rPr>
            </w:pPr>
            <w:r w:rsidRPr="00582481">
              <w:rPr>
                <w:rFonts w:cstheme="minorHAnsi"/>
                <w:sz w:val="20"/>
                <w:szCs w:val="20"/>
              </w:rPr>
              <w:t xml:space="preserve">Based on the Yukon Human Rights Act and the Yukon Workers’ Compensation Act, </w:t>
            </w:r>
          </w:p>
          <w:p w14:paraId="5E471D9D" w14:textId="2C1FABA4" w:rsidR="008B547F" w:rsidRPr="00582481" w:rsidRDefault="008B547F" w:rsidP="008B547F">
            <w:pPr>
              <w:rPr>
                <w:rFonts w:cstheme="minorHAnsi"/>
                <w:sz w:val="20"/>
                <w:szCs w:val="20"/>
              </w:rPr>
            </w:pPr>
            <w:r w:rsidRPr="00582481">
              <w:rPr>
                <w:rFonts w:cstheme="minorHAnsi"/>
                <w:sz w:val="20"/>
                <w:szCs w:val="20"/>
              </w:rPr>
              <w:t>disability community unlikely to have been involved</w:t>
            </w:r>
          </w:p>
        </w:tc>
        <w:tc>
          <w:tcPr>
            <w:tcW w:w="1710" w:type="dxa"/>
          </w:tcPr>
          <w:p w14:paraId="69480260" w14:textId="56087CFB" w:rsidR="008B547F" w:rsidRPr="00582481" w:rsidRDefault="008B547F" w:rsidP="008B547F">
            <w:pPr>
              <w:rPr>
                <w:rFonts w:cstheme="minorHAnsi"/>
                <w:sz w:val="20"/>
                <w:szCs w:val="20"/>
              </w:rPr>
            </w:pPr>
            <w:r w:rsidRPr="00582481">
              <w:rPr>
                <w:rFonts w:cstheme="minorHAnsi"/>
                <w:sz w:val="20"/>
                <w:szCs w:val="20"/>
              </w:rPr>
              <w:t>Contains a Vision Statement, outlines the Fundamentals of Disability Management and Accommodation, simple and complex case management, training and support, roles and responsibilities</w:t>
            </w:r>
          </w:p>
        </w:tc>
        <w:tc>
          <w:tcPr>
            <w:tcW w:w="1890" w:type="dxa"/>
          </w:tcPr>
          <w:p w14:paraId="1EAF9130" w14:textId="77777777" w:rsidR="008B547F" w:rsidRPr="00582481" w:rsidRDefault="008B547F" w:rsidP="008B547F">
            <w:pPr>
              <w:rPr>
                <w:rFonts w:cstheme="minorHAnsi"/>
                <w:sz w:val="20"/>
                <w:szCs w:val="20"/>
              </w:rPr>
            </w:pPr>
            <w:r w:rsidRPr="00582481">
              <w:rPr>
                <w:rFonts w:cstheme="minorHAnsi"/>
                <w:sz w:val="20"/>
                <w:szCs w:val="20"/>
              </w:rPr>
              <w:t>-</w:t>
            </w:r>
            <w:r w:rsidRPr="00582481">
              <w:rPr>
                <w:rFonts w:cstheme="minorHAnsi"/>
              </w:rPr>
              <w:t xml:space="preserve"> </w:t>
            </w:r>
            <w:r w:rsidRPr="00582481">
              <w:rPr>
                <w:rFonts w:cstheme="minorHAnsi"/>
                <w:sz w:val="20"/>
                <w:szCs w:val="20"/>
              </w:rPr>
              <w:t>Those absent from work due to illness, injury or disability have a 50% chance of returning to work after 6-month absence, 20% after one-year absence, 10% after two years away from work</w:t>
            </w:r>
          </w:p>
          <w:p w14:paraId="50619669" w14:textId="77777777" w:rsidR="008B547F" w:rsidRPr="00582481" w:rsidRDefault="008B547F" w:rsidP="008B547F">
            <w:pPr>
              <w:rPr>
                <w:rFonts w:cstheme="minorHAnsi"/>
                <w:sz w:val="20"/>
                <w:szCs w:val="20"/>
              </w:rPr>
            </w:pPr>
            <w:r w:rsidRPr="00582481">
              <w:rPr>
                <w:rFonts w:cstheme="minorHAnsi"/>
                <w:sz w:val="20"/>
                <w:szCs w:val="20"/>
              </w:rPr>
              <w:t>- Recommendations include</w:t>
            </w:r>
            <w:r w:rsidRPr="00582481">
              <w:rPr>
                <w:rFonts w:cstheme="minorHAnsi"/>
              </w:rPr>
              <w:t xml:space="preserve"> </w:t>
            </w:r>
            <w:r w:rsidRPr="00582481">
              <w:rPr>
                <w:rFonts w:cstheme="minorHAnsi"/>
                <w:sz w:val="20"/>
                <w:szCs w:val="20"/>
              </w:rPr>
              <w:t xml:space="preserve">ongoing communication, continued support, healthy workplace culture, proactivity, early identification of key services </w:t>
            </w:r>
          </w:p>
          <w:p w14:paraId="0A8FFDC3" w14:textId="77777777" w:rsidR="008B547F" w:rsidRPr="00582481" w:rsidRDefault="008B547F" w:rsidP="008B547F">
            <w:pPr>
              <w:rPr>
                <w:rFonts w:cstheme="minorHAnsi"/>
                <w:sz w:val="20"/>
                <w:szCs w:val="20"/>
              </w:rPr>
            </w:pPr>
          </w:p>
        </w:tc>
        <w:tc>
          <w:tcPr>
            <w:tcW w:w="1620" w:type="dxa"/>
          </w:tcPr>
          <w:p w14:paraId="5106CFFF" w14:textId="4AD407EB" w:rsidR="008B547F" w:rsidRPr="00582481" w:rsidRDefault="008B547F" w:rsidP="008B547F">
            <w:pPr>
              <w:rPr>
                <w:rFonts w:cstheme="minorHAnsi"/>
                <w:sz w:val="20"/>
                <w:szCs w:val="20"/>
              </w:rPr>
            </w:pPr>
            <w:r w:rsidRPr="00582481">
              <w:rPr>
                <w:rFonts w:cstheme="minorHAnsi"/>
                <w:sz w:val="20"/>
                <w:szCs w:val="20"/>
              </w:rPr>
              <w:t>-Roles and responsibilities of many different people and groups involved</w:t>
            </w:r>
          </w:p>
        </w:tc>
        <w:tc>
          <w:tcPr>
            <w:tcW w:w="1800" w:type="dxa"/>
          </w:tcPr>
          <w:p w14:paraId="0D663F48" w14:textId="4340B10A" w:rsidR="008B547F" w:rsidRPr="00582481" w:rsidRDefault="008B547F" w:rsidP="008B547F">
            <w:pPr>
              <w:rPr>
                <w:rFonts w:cstheme="minorHAnsi"/>
                <w:sz w:val="20"/>
                <w:szCs w:val="20"/>
              </w:rPr>
            </w:pPr>
            <w:r w:rsidRPr="00582481">
              <w:rPr>
                <w:rFonts w:cstheme="minorHAnsi"/>
                <w:sz w:val="20"/>
                <w:szCs w:val="20"/>
              </w:rPr>
              <w:t>In implementation</w:t>
            </w:r>
            <w:r>
              <w:rPr>
                <w:rFonts w:cstheme="minorHAnsi"/>
                <w:sz w:val="20"/>
                <w:szCs w:val="20"/>
              </w:rPr>
              <w:t xml:space="preserve">. Notes: This strategy is </w:t>
            </w:r>
            <w:r w:rsidRPr="00582481">
              <w:rPr>
                <w:rFonts w:cstheme="minorHAnsi"/>
                <w:sz w:val="20"/>
                <w:szCs w:val="20"/>
              </w:rPr>
              <w:t>heavily focused on ill and injured employees who are attempting to return to work</w:t>
            </w:r>
          </w:p>
        </w:tc>
      </w:tr>
      <w:tr w:rsidR="008B547F" w:rsidRPr="00582481" w14:paraId="5F394B9A" w14:textId="77777777" w:rsidTr="008B547F">
        <w:trPr>
          <w:trHeight w:val="620"/>
        </w:trPr>
        <w:tc>
          <w:tcPr>
            <w:tcW w:w="1353" w:type="dxa"/>
          </w:tcPr>
          <w:p w14:paraId="558399E5" w14:textId="77777777" w:rsidR="008B547F" w:rsidRPr="00582481" w:rsidRDefault="008B547F" w:rsidP="008B547F">
            <w:pPr>
              <w:rPr>
                <w:rFonts w:cstheme="minorHAnsi"/>
                <w:sz w:val="20"/>
                <w:szCs w:val="20"/>
              </w:rPr>
            </w:pPr>
            <w:r w:rsidRPr="000B12DA">
              <w:rPr>
                <w:rStyle w:val="Heading3Char"/>
                <w:rFonts w:asciiTheme="minorHAnsi" w:hAnsiTheme="minorHAnsi" w:cstheme="minorHAnsi"/>
                <w:b/>
                <w:bCs/>
                <w:color w:val="auto"/>
              </w:rPr>
              <w:t xml:space="preserve">Nunavut </w:t>
            </w:r>
            <w:r w:rsidRPr="00582481">
              <w:rPr>
                <w:rFonts w:cstheme="minorHAnsi"/>
                <w:sz w:val="20"/>
                <w:szCs w:val="20"/>
              </w:rPr>
              <w:t>(prepared in April 2015 by the Government of Nunavut)</w:t>
            </w:r>
          </w:p>
          <w:p w14:paraId="1DF37F3B" w14:textId="77777777" w:rsidR="008B547F" w:rsidRPr="000B12DA" w:rsidRDefault="008B547F" w:rsidP="008B547F">
            <w:pPr>
              <w:rPr>
                <w:rStyle w:val="Heading3Char"/>
                <w:rFonts w:asciiTheme="minorHAnsi" w:hAnsiTheme="minorHAnsi" w:cstheme="minorHAnsi"/>
                <w:b/>
                <w:bCs/>
                <w:color w:val="auto"/>
              </w:rPr>
            </w:pPr>
          </w:p>
        </w:tc>
        <w:tc>
          <w:tcPr>
            <w:tcW w:w="1800" w:type="dxa"/>
          </w:tcPr>
          <w:p w14:paraId="34B3B817" w14:textId="77777777" w:rsidR="008B547F" w:rsidRPr="008B547F" w:rsidRDefault="008B547F" w:rsidP="008B547F">
            <w:pPr>
              <w:pStyle w:val="Heading4"/>
              <w:rPr>
                <w:rFonts w:asciiTheme="minorHAnsi" w:hAnsiTheme="minorHAnsi" w:cstheme="minorHAnsi"/>
                <w:b/>
                <w:bCs/>
                <w:i w:val="0"/>
                <w:iCs w:val="0"/>
                <w:color w:val="auto"/>
              </w:rPr>
            </w:pPr>
            <w:r w:rsidRPr="008B547F">
              <w:rPr>
                <w:rFonts w:asciiTheme="minorHAnsi" w:hAnsiTheme="minorHAnsi" w:cstheme="minorHAnsi"/>
                <w:b/>
                <w:bCs/>
                <w:i w:val="0"/>
                <w:iCs w:val="0"/>
                <w:color w:val="auto"/>
              </w:rPr>
              <w:t>Continuing Care in Nunavut - 2015 to 2035</w:t>
            </w:r>
          </w:p>
          <w:p w14:paraId="2164C151" w14:textId="77777777" w:rsidR="008B547F" w:rsidRPr="008B547F" w:rsidRDefault="008B547F" w:rsidP="008B547F">
            <w:pPr>
              <w:pStyle w:val="Heading4"/>
              <w:rPr>
                <w:rFonts w:asciiTheme="minorHAnsi" w:hAnsiTheme="minorHAnsi" w:cstheme="minorHAnsi"/>
                <w:b/>
                <w:bCs/>
                <w:i w:val="0"/>
                <w:iCs w:val="0"/>
                <w:color w:val="auto"/>
              </w:rPr>
            </w:pPr>
          </w:p>
        </w:tc>
        <w:tc>
          <w:tcPr>
            <w:tcW w:w="2430" w:type="dxa"/>
          </w:tcPr>
          <w:p w14:paraId="315913D2" w14:textId="6DAA1249" w:rsidR="008B547F" w:rsidRPr="00582481" w:rsidRDefault="008B547F" w:rsidP="008B547F">
            <w:pPr>
              <w:rPr>
                <w:rFonts w:cstheme="minorHAnsi"/>
                <w:sz w:val="20"/>
                <w:szCs w:val="20"/>
              </w:rPr>
            </w:pPr>
            <w:r w:rsidRPr="00582481">
              <w:rPr>
                <w:rFonts w:cstheme="minorHAnsi"/>
                <w:sz w:val="20"/>
                <w:szCs w:val="20"/>
              </w:rPr>
              <w:t>Broad strategy on caring for those who are ill or disabled. Focuses on providing residential care (short and long term), caregiver supports and assessments.</w:t>
            </w:r>
          </w:p>
        </w:tc>
        <w:tc>
          <w:tcPr>
            <w:tcW w:w="1890" w:type="dxa"/>
          </w:tcPr>
          <w:p w14:paraId="415A3F7F" w14:textId="308C62BF" w:rsidR="008B547F" w:rsidRPr="00582481" w:rsidRDefault="008B547F" w:rsidP="008B547F">
            <w:pPr>
              <w:rPr>
                <w:rFonts w:cstheme="minorHAnsi"/>
                <w:sz w:val="20"/>
                <w:szCs w:val="20"/>
              </w:rPr>
            </w:pPr>
            <w:r w:rsidRPr="00582481">
              <w:rPr>
                <w:rFonts w:cstheme="minorHAnsi"/>
                <w:sz w:val="20"/>
                <w:szCs w:val="20"/>
              </w:rPr>
              <w:t>In 2014, the Department of Health initiated a needs assessment of residential long-term care.</w:t>
            </w:r>
          </w:p>
        </w:tc>
        <w:tc>
          <w:tcPr>
            <w:tcW w:w="1710" w:type="dxa"/>
          </w:tcPr>
          <w:p w14:paraId="3E42CDAB" w14:textId="14B50657" w:rsidR="008B547F" w:rsidRPr="00582481" w:rsidRDefault="008B547F" w:rsidP="008B547F">
            <w:pPr>
              <w:rPr>
                <w:rFonts w:cstheme="minorHAnsi"/>
                <w:sz w:val="20"/>
                <w:szCs w:val="20"/>
              </w:rPr>
            </w:pPr>
            <w:r w:rsidRPr="00582481">
              <w:rPr>
                <w:rFonts w:cstheme="minorHAnsi"/>
                <w:sz w:val="20"/>
                <w:szCs w:val="20"/>
              </w:rPr>
              <w:t>Outlines levels of care, continuing care programs, care assessment, different care options</w:t>
            </w:r>
          </w:p>
        </w:tc>
        <w:tc>
          <w:tcPr>
            <w:tcW w:w="1890" w:type="dxa"/>
          </w:tcPr>
          <w:p w14:paraId="7FC0FFFC" w14:textId="31C31CF0" w:rsidR="008B547F" w:rsidRPr="00582481" w:rsidRDefault="008B547F" w:rsidP="008B547F">
            <w:pPr>
              <w:rPr>
                <w:rFonts w:cstheme="minorHAnsi"/>
                <w:sz w:val="20"/>
                <w:szCs w:val="20"/>
              </w:rPr>
            </w:pPr>
            <w:r w:rsidRPr="00582481">
              <w:rPr>
                <w:rFonts w:cstheme="minorHAnsi"/>
                <w:sz w:val="20"/>
                <w:szCs w:val="20"/>
              </w:rPr>
              <w:t xml:space="preserve">Type of care </w:t>
            </w:r>
            <w:r w:rsidR="000650E9" w:rsidRPr="00582481">
              <w:rPr>
                <w:rFonts w:cstheme="minorHAnsi"/>
                <w:sz w:val="20"/>
                <w:szCs w:val="20"/>
              </w:rPr>
              <w:t>sought,</w:t>
            </w:r>
            <w:r w:rsidRPr="00582481">
              <w:rPr>
                <w:rFonts w:cstheme="minorHAnsi"/>
                <w:sz w:val="20"/>
                <w:szCs w:val="20"/>
              </w:rPr>
              <w:t xml:space="preserve"> and costs associated with levels of care are included</w:t>
            </w:r>
            <w:r>
              <w:rPr>
                <w:rFonts w:cstheme="minorHAnsi"/>
                <w:sz w:val="20"/>
                <w:szCs w:val="20"/>
              </w:rPr>
              <w:t xml:space="preserve">; </w:t>
            </w:r>
            <w:r w:rsidRPr="00582481">
              <w:rPr>
                <w:rFonts w:cstheme="minorHAnsi"/>
                <w:sz w:val="20"/>
                <w:szCs w:val="20"/>
              </w:rPr>
              <w:t xml:space="preserve">focus on </w:t>
            </w:r>
            <w:r>
              <w:rPr>
                <w:rFonts w:cstheme="minorHAnsi"/>
                <w:sz w:val="20"/>
                <w:szCs w:val="20"/>
              </w:rPr>
              <w:t>dementia rates</w:t>
            </w:r>
          </w:p>
          <w:p w14:paraId="23D8ED7E" w14:textId="2A295238" w:rsidR="008B547F" w:rsidRPr="00582481" w:rsidRDefault="008B547F" w:rsidP="008B547F">
            <w:pPr>
              <w:rPr>
                <w:rFonts w:cstheme="minorHAnsi"/>
                <w:sz w:val="20"/>
                <w:szCs w:val="20"/>
              </w:rPr>
            </w:pPr>
            <w:r w:rsidRPr="00582481">
              <w:rPr>
                <w:rFonts w:cstheme="minorHAnsi"/>
                <w:sz w:val="20"/>
                <w:szCs w:val="20"/>
              </w:rPr>
              <w:t xml:space="preserve">-Recommendations include consolidate the continuing care system, support aging in place, increase capacity of residential long-term care </w:t>
            </w:r>
          </w:p>
        </w:tc>
        <w:tc>
          <w:tcPr>
            <w:tcW w:w="1620" w:type="dxa"/>
          </w:tcPr>
          <w:p w14:paraId="541BC27B" w14:textId="0E4408EF" w:rsidR="008B547F" w:rsidRPr="00582481" w:rsidRDefault="008B547F" w:rsidP="008B547F">
            <w:pPr>
              <w:rPr>
                <w:rFonts w:cstheme="minorHAnsi"/>
                <w:sz w:val="20"/>
                <w:szCs w:val="20"/>
              </w:rPr>
            </w:pPr>
            <w:r w:rsidRPr="00582481">
              <w:rPr>
                <w:rFonts w:cstheme="minorHAnsi"/>
                <w:sz w:val="20"/>
                <w:szCs w:val="20"/>
              </w:rPr>
              <w:t>Key recommendations could apply but centred around the elderly</w:t>
            </w:r>
          </w:p>
        </w:tc>
        <w:tc>
          <w:tcPr>
            <w:tcW w:w="1800" w:type="dxa"/>
          </w:tcPr>
          <w:p w14:paraId="4800BC01" w14:textId="63178373" w:rsidR="008B547F" w:rsidRPr="00582481" w:rsidRDefault="008B547F" w:rsidP="008B547F">
            <w:pPr>
              <w:rPr>
                <w:rFonts w:cstheme="minorHAnsi"/>
                <w:sz w:val="20"/>
                <w:szCs w:val="20"/>
              </w:rPr>
            </w:pPr>
            <w:r w:rsidRPr="00582481">
              <w:rPr>
                <w:rFonts w:cstheme="minorHAnsi"/>
                <w:sz w:val="20"/>
                <w:szCs w:val="20"/>
              </w:rPr>
              <w:t>In implementation</w:t>
            </w:r>
            <w:r>
              <w:rPr>
                <w:rFonts w:cstheme="minorHAnsi"/>
                <w:sz w:val="20"/>
                <w:szCs w:val="20"/>
              </w:rPr>
              <w:t xml:space="preserve">. Notes: </w:t>
            </w:r>
            <w:r w:rsidRPr="00582481">
              <w:rPr>
                <w:rFonts w:cstheme="minorHAnsi"/>
                <w:sz w:val="20"/>
                <w:szCs w:val="20"/>
              </w:rPr>
              <w:t>This strategy is solely about caring for those with disabilities and does not focus on employment</w:t>
            </w:r>
          </w:p>
        </w:tc>
      </w:tr>
      <w:tr w:rsidR="008B547F" w:rsidRPr="00582481" w14:paraId="3891E496" w14:textId="77777777" w:rsidTr="008B547F">
        <w:trPr>
          <w:trHeight w:val="2267"/>
        </w:trPr>
        <w:tc>
          <w:tcPr>
            <w:tcW w:w="1353" w:type="dxa"/>
          </w:tcPr>
          <w:p w14:paraId="40D9DEC8" w14:textId="181ACFB0" w:rsidR="008B547F" w:rsidRPr="000B12DA" w:rsidRDefault="008B547F" w:rsidP="008B547F">
            <w:pPr>
              <w:rPr>
                <w:rStyle w:val="Heading3Char"/>
                <w:rFonts w:asciiTheme="minorHAnsi" w:hAnsiTheme="minorHAnsi" w:cstheme="minorHAnsi"/>
                <w:b/>
                <w:bCs/>
                <w:color w:val="auto"/>
              </w:rPr>
            </w:pPr>
            <w:r w:rsidRPr="000B12DA">
              <w:rPr>
                <w:rStyle w:val="Heading3Char"/>
                <w:rFonts w:asciiTheme="minorHAnsi" w:hAnsiTheme="minorHAnsi" w:cstheme="minorHAnsi"/>
                <w:b/>
                <w:bCs/>
                <w:color w:val="auto"/>
              </w:rPr>
              <w:lastRenderedPageBreak/>
              <w:t>North West Territories</w:t>
            </w:r>
            <w:r w:rsidRPr="00582481">
              <w:rPr>
                <w:rFonts w:cstheme="minorHAnsi"/>
                <w:sz w:val="20"/>
                <w:szCs w:val="20"/>
              </w:rPr>
              <w:t xml:space="preserve"> (prepared February 20, 2018 by the Government of North West Territories</w:t>
            </w:r>
          </w:p>
        </w:tc>
        <w:tc>
          <w:tcPr>
            <w:tcW w:w="1800" w:type="dxa"/>
          </w:tcPr>
          <w:p w14:paraId="01446C83" w14:textId="579E3E8B" w:rsidR="008B547F" w:rsidRPr="008B547F" w:rsidRDefault="008B547F" w:rsidP="008B547F">
            <w:pPr>
              <w:pStyle w:val="Heading4"/>
              <w:rPr>
                <w:rFonts w:asciiTheme="minorHAnsi" w:hAnsiTheme="minorHAnsi" w:cstheme="minorHAnsi"/>
                <w:b/>
                <w:bCs/>
                <w:i w:val="0"/>
                <w:iCs w:val="0"/>
                <w:color w:val="auto"/>
              </w:rPr>
            </w:pPr>
            <w:r w:rsidRPr="008B547F">
              <w:rPr>
                <w:rFonts w:asciiTheme="minorHAnsi" w:hAnsiTheme="minorHAnsi" w:cstheme="minorHAnsi"/>
                <w:b/>
                <w:bCs/>
                <w:i w:val="0"/>
                <w:iCs w:val="0"/>
                <w:color w:val="auto"/>
              </w:rPr>
              <w:t>NWT Disability Strategic Framework – 2017 to 2027</w:t>
            </w:r>
          </w:p>
        </w:tc>
        <w:tc>
          <w:tcPr>
            <w:tcW w:w="2430" w:type="dxa"/>
          </w:tcPr>
          <w:p w14:paraId="39038680" w14:textId="6CD24FC2" w:rsidR="008B547F" w:rsidRPr="00582481" w:rsidRDefault="008B547F" w:rsidP="008B547F">
            <w:pPr>
              <w:rPr>
                <w:rFonts w:cstheme="minorHAnsi"/>
                <w:sz w:val="20"/>
                <w:szCs w:val="20"/>
              </w:rPr>
            </w:pPr>
            <w:r w:rsidRPr="00582481">
              <w:rPr>
                <w:rFonts w:cstheme="minorHAnsi"/>
                <w:sz w:val="20"/>
                <w:szCs w:val="20"/>
              </w:rPr>
              <w:t>Broad strategy on disability but defines disability in depth and explains the complexity of disability, including the political, social, economic and other contextual factors that play a role. The framework provides a holistic approach to disability and how to consider the multiple factors when attempting to be inclusive, accessible and equitable.</w:t>
            </w:r>
          </w:p>
        </w:tc>
        <w:tc>
          <w:tcPr>
            <w:tcW w:w="1890" w:type="dxa"/>
          </w:tcPr>
          <w:p w14:paraId="574BBD15" w14:textId="5B4AA994" w:rsidR="008B547F" w:rsidRPr="00582481" w:rsidRDefault="008B547F" w:rsidP="008B547F">
            <w:pPr>
              <w:rPr>
                <w:rFonts w:cstheme="minorHAnsi"/>
                <w:sz w:val="20"/>
                <w:szCs w:val="20"/>
              </w:rPr>
            </w:pPr>
            <w:r w:rsidRPr="00582481">
              <w:rPr>
                <w:rFonts w:cstheme="minorHAnsi"/>
                <w:sz w:val="20"/>
                <w:szCs w:val="20"/>
              </w:rPr>
              <w:t>The framework resulted from findings of NWT Disability Program Review and Renewal Project and was undertaken in collaboration with the Disability Reference Panel.</w:t>
            </w:r>
          </w:p>
        </w:tc>
        <w:tc>
          <w:tcPr>
            <w:tcW w:w="1710" w:type="dxa"/>
          </w:tcPr>
          <w:p w14:paraId="0FA1B91B" w14:textId="5A588661" w:rsidR="008B547F" w:rsidRPr="00582481" w:rsidRDefault="008B547F" w:rsidP="008B547F">
            <w:pPr>
              <w:rPr>
                <w:rFonts w:cstheme="minorHAnsi"/>
                <w:sz w:val="20"/>
                <w:szCs w:val="20"/>
              </w:rPr>
            </w:pPr>
            <w:r w:rsidRPr="00582481">
              <w:rPr>
                <w:rFonts w:cstheme="minorHAnsi"/>
                <w:sz w:val="20"/>
                <w:szCs w:val="20"/>
              </w:rPr>
              <w:t>-Vision, Values, Principles and Goals, and Action Plan with five Objectives: Education, Awareness and Training, Transition Planning and Options, Universal Design and Living Options, Caregiver Supports</w:t>
            </w:r>
          </w:p>
        </w:tc>
        <w:tc>
          <w:tcPr>
            <w:tcW w:w="1890" w:type="dxa"/>
          </w:tcPr>
          <w:p w14:paraId="11281B7F" w14:textId="77777777" w:rsidR="008B547F" w:rsidRPr="00582481" w:rsidRDefault="008B547F" w:rsidP="008B547F">
            <w:pPr>
              <w:rPr>
                <w:rFonts w:cstheme="minorHAnsi"/>
                <w:sz w:val="20"/>
                <w:szCs w:val="20"/>
              </w:rPr>
            </w:pPr>
            <w:r w:rsidRPr="00582481">
              <w:rPr>
                <w:rFonts w:cstheme="minorHAnsi"/>
                <w:sz w:val="20"/>
                <w:szCs w:val="20"/>
              </w:rPr>
              <w:t xml:space="preserve">- Key demographic statistics from 2012 (rates of disability across the territory) are included as well as 2016-2015 projections </w:t>
            </w:r>
          </w:p>
          <w:p w14:paraId="4AB38BF6" w14:textId="77777777" w:rsidR="008B547F" w:rsidRPr="00582481" w:rsidRDefault="008B547F" w:rsidP="008B547F">
            <w:pPr>
              <w:rPr>
                <w:rFonts w:cstheme="minorHAnsi"/>
                <w:sz w:val="20"/>
                <w:szCs w:val="20"/>
              </w:rPr>
            </w:pPr>
            <w:r w:rsidRPr="00582481">
              <w:rPr>
                <w:rFonts w:cstheme="minorHAnsi"/>
                <w:sz w:val="20"/>
                <w:szCs w:val="20"/>
              </w:rPr>
              <w:t xml:space="preserve">-Recommendations include: Recognize the significant and expansive impacts of disability on people, use a collaborative approach, </w:t>
            </w:r>
          </w:p>
          <w:p w14:paraId="4A46F88E" w14:textId="650D3861" w:rsidR="008B547F" w:rsidRPr="00582481" w:rsidRDefault="008B547F" w:rsidP="008B547F">
            <w:pPr>
              <w:rPr>
                <w:rFonts w:cstheme="minorHAnsi"/>
                <w:sz w:val="20"/>
                <w:szCs w:val="20"/>
              </w:rPr>
            </w:pPr>
            <w:r w:rsidRPr="00582481">
              <w:rPr>
                <w:rFonts w:cstheme="minorHAnsi"/>
                <w:sz w:val="20"/>
                <w:szCs w:val="20"/>
              </w:rPr>
              <w:t>evidence and best practices from multiple organizations, establish a common language, consider a bio-psycho-social model of disability, consider disability supports and removing environmental barriers</w:t>
            </w:r>
          </w:p>
        </w:tc>
        <w:tc>
          <w:tcPr>
            <w:tcW w:w="1620" w:type="dxa"/>
          </w:tcPr>
          <w:p w14:paraId="1FBA3ED2" w14:textId="4738BD2D" w:rsidR="008B547F" w:rsidRPr="00582481" w:rsidRDefault="008B547F" w:rsidP="008B547F">
            <w:pPr>
              <w:rPr>
                <w:rFonts w:cstheme="minorHAnsi"/>
                <w:sz w:val="20"/>
                <w:szCs w:val="20"/>
              </w:rPr>
            </w:pPr>
            <w:r w:rsidRPr="00582481">
              <w:rPr>
                <w:rFonts w:cstheme="minorHAnsi"/>
                <w:sz w:val="20"/>
                <w:szCs w:val="20"/>
              </w:rPr>
              <w:t>Extensive consultation process</w:t>
            </w:r>
          </w:p>
        </w:tc>
        <w:tc>
          <w:tcPr>
            <w:tcW w:w="1800" w:type="dxa"/>
          </w:tcPr>
          <w:p w14:paraId="4708D2F5" w14:textId="66BE3C50" w:rsidR="008B547F" w:rsidRPr="00582481" w:rsidRDefault="008B547F" w:rsidP="008B547F">
            <w:pPr>
              <w:rPr>
                <w:rFonts w:cstheme="minorHAnsi"/>
                <w:sz w:val="20"/>
                <w:szCs w:val="20"/>
              </w:rPr>
            </w:pPr>
            <w:r w:rsidRPr="00582481">
              <w:rPr>
                <w:rFonts w:cstheme="minorHAnsi"/>
                <w:sz w:val="20"/>
                <w:szCs w:val="20"/>
              </w:rPr>
              <w:t>In implementation</w:t>
            </w:r>
            <w:r>
              <w:rPr>
                <w:rFonts w:cstheme="minorHAnsi"/>
                <w:sz w:val="20"/>
                <w:szCs w:val="20"/>
              </w:rPr>
              <w:t>. Notes:</w:t>
            </w:r>
            <w:r w:rsidRPr="00582481">
              <w:rPr>
                <w:rFonts w:cstheme="minorHAnsi"/>
                <w:sz w:val="20"/>
                <w:szCs w:val="20"/>
              </w:rPr>
              <w:t xml:space="preserve"> Very holistic</w:t>
            </w:r>
          </w:p>
        </w:tc>
      </w:tr>
    </w:tbl>
    <w:p w14:paraId="3FE62B66" w14:textId="1CD236AE" w:rsidR="000B1DFC" w:rsidRDefault="000B1DFC"/>
    <w:p w14:paraId="5EA25F88" w14:textId="4FFB1154" w:rsidR="000B1DFC" w:rsidRDefault="000B1DFC"/>
    <w:sectPr w:rsidR="000B1DFC" w:rsidSect="001952A4">
      <w:headerReference w:type="default" r:id="rId11"/>
      <w:pgSz w:w="15840" w:h="12240" w:orient="landscape"/>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8F5AD" w14:textId="77777777" w:rsidR="000249A6" w:rsidRDefault="000249A6" w:rsidP="00235850">
      <w:r>
        <w:separator/>
      </w:r>
    </w:p>
  </w:endnote>
  <w:endnote w:type="continuationSeparator" w:id="0">
    <w:p w14:paraId="55BEC110" w14:textId="77777777" w:rsidR="000249A6" w:rsidRDefault="000249A6" w:rsidP="0023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91518132"/>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02A96D50" w14:textId="77777777" w:rsidR="000836F4" w:rsidRPr="00582481" w:rsidRDefault="000836F4">
            <w:pPr>
              <w:pStyle w:val="Footer"/>
              <w:jc w:val="center"/>
              <w:rPr>
                <w:rFonts w:ascii="Times New Roman" w:hAnsi="Times New Roman" w:cs="Times New Roman"/>
                <w:sz w:val="24"/>
                <w:szCs w:val="24"/>
              </w:rPr>
            </w:pPr>
            <w:r w:rsidRPr="00582481">
              <w:rPr>
                <w:rFonts w:ascii="Times New Roman" w:hAnsi="Times New Roman" w:cs="Times New Roman"/>
                <w:sz w:val="24"/>
                <w:szCs w:val="24"/>
              </w:rPr>
              <w:t xml:space="preserve">Page </w:t>
            </w:r>
            <w:r w:rsidRPr="00582481">
              <w:rPr>
                <w:rFonts w:ascii="Times New Roman" w:hAnsi="Times New Roman" w:cs="Times New Roman"/>
                <w:b/>
                <w:bCs/>
                <w:sz w:val="24"/>
                <w:szCs w:val="24"/>
              </w:rPr>
              <w:fldChar w:fldCharType="begin"/>
            </w:r>
            <w:r w:rsidRPr="00582481">
              <w:rPr>
                <w:rFonts w:ascii="Times New Roman" w:hAnsi="Times New Roman" w:cs="Times New Roman"/>
                <w:b/>
                <w:bCs/>
                <w:sz w:val="24"/>
                <w:szCs w:val="24"/>
              </w:rPr>
              <w:instrText xml:space="preserve"> PAGE </w:instrText>
            </w:r>
            <w:r w:rsidRPr="00582481">
              <w:rPr>
                <w:rFonts w:ascii="Times New Roman" w:hAnsi="Times New Roman" w:cs="Times New Roman"/>
                <w:b/>
                <w:bCs/>
                <w:sz w:val="24"/>
                <w:szCs w:val="24"/>
              </w:rPr>
              <w:fldChar w:fldCharType="separate"/>
            </w:r>
            <w:r w:rsidRPr="00582481">
              <w:rPr>
                <w:rFonts w:ascii="Times New Roman" w:hAnsi="Times New Roman" w:cs="Times New Roman"/>
                <w:b/>
                <w:bCs/>
                <w:noProof/>
                <w:sz w:val="24"/>
                <w:szCs w:val="24"/>
              </w:rPr>
              <w:t>9</w:t>
            </w:r>
            <w:r w:rsidRPr="00582481">
              <w:rPr>
                <w:rFonts w:ascii="Times New Roman" w:hAnsi="Times New Roman" w:cs="Times New Roman"/>
                <w:b/>
                <w:bCs/>
                <w:sz w:val="24"/>
                <w:szCs w:val="24"/>
              </w:rPr>
              <w:fldChar w:fldCharType="end"/>
            </w:r>
            <w:r w:rsidRPr="00582481">
              <w:rPr>
                <w:rFonts w:ascii="Times New Roman" w:hAnsi="Times New Roman" w:cs="Times New Roman"/>
                <w:sz w:val="24"/>
                <w:szCs w:val="24"/>
              </w:rPr>
              <w:t xml:space="preserve"> of </w:t>
            </w:r>
            <w:r w:rsidRPr="00582481">
              <w:rPr>
                <w:rFonts w:ascii="Times New Roman" w:hAnsi="Times New Roman" w:cs="Times New Roman"/>
                <w:b/>
                <w:bCs/>
                <w:sz w:val="24"/>
                <w:szCs w:val="24"/>
              </w:rPr>
              <w:fldChar w:fldCharType="begin"/>
            </w:r>
            <w:r w:rsidRPr="00582481">
              <w:rPr>
                <w:rFonts w:ascii="Times New Roman" w:hAnsi="Times New Roman" w:cs="Times New Roman"/>
                <w:b/>
                <w:bCs/>
                <w:sz w:val="24"/>
                <w:szCs w:val="24"/>
              </w:rPr>
              <w:instrText xml:space="preserve"> NUMPAGES  </w:instrText>
            </w:r>
            <w:r w:rsidRPr="00582481">
              <w:rPr>
                <w:rFonts w:ascii="Times New Roman" w:hAnsi="Times New Roman" w:cs="Times New Roman"/>
                <w:b/>
                <w:bCs/>
                <w:sz w:val="24"/>
                <w:szCs w:val="24"/>
              </w:rPr>
              <w:fldChar w:fldCharType="separate"/>
            </w:r>
            <w:r w:rsidRPr="00582481">
              <w:rPr>
                <w:rFonts w:ascii="Times New Roman" w:hAnsi="Times New Roman" w:cs="Times New Roman"/>
                <w:b/>
                <w:bCs/>
                <w:noProof/>
                <w:sz w:val="24"/>
                <w:szCs w:val="24"/>
              </w:rPr>
              <w:t>32</w:t>
            </w:r>
            <w:r w:rsidRPr="00582481">
              <w:rPr>
                <w:rFonts w:ascii="Times New Roman" w:hAnsi="Times New Roman" w:cs="Times New Roman"/>
                <w:b/>
                <w:bCs/>
                <w:sz w:val="24"/>
                <w:szCs w:val="24"/>
              </w:rPr>
              <w:fldChar w:fldCharType="end"/>
            </w:r>
          </w:p>
        </w:sdtContent>
      </w:sdt>
    </w:sdtContent>
  </w:sdt>
  <w:p w14:paraId="38D35467" w14:textId="77777777" w:rsidR="000836F4" w:rsidRDefault="00083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0A3F7" w14:textId="77777777" w:rsidR="000249A6" w:rsidRDefault="000249A6" w:rsidP="00235850">
      <w:r>
        <w:separator/>
      </w:r>
    </w:p>
  </w:footnote>
  <w:footnote w:type="continuationSeparator" w:id="0">
    <w:p w14:paraId="541FDEDC" w14:textId="77777777" w:rsidR="000249A6" w:rsidRDefault="000249A6" w:rsidP="00235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42F06" w14:textId="77777777" w:rsidR="000836F4" w:rsidRPr="00F2364E" w:rsidRDefault="000836F4" w:rsidP="00F2364E">
    <w:pPr>
      <w:pStyle w:val="Header"/>
      <w:rPr>
        <w:rFonts w:ascii="Times New Roman" w:hAnsi="Times New Roman" w:cs="Times New Roman"/>
        <w:sz w:val="24"/>
        <w:szCs w:val="24"/>
      </w:rPr>
    </w:pPr>
    <w:r w:rsidRPr="00F2364E">
      <w:rPr>
        <w:rFonts w:ascii="Times New Roman" w:hAnsi="Times New Roman" w:cs="Times New Roman"/>
        <w:noProof/>
        <w:sz w:val="24"/>
        <w:szCs w:val="24"/>
        <w:lang w:eastAsia="en-CA"/>
      </w:rPr>
      <w:drawing>
        <wp:anchor distT="0" distB="0" distL="114300" distR="114300" simplePos="0" relativeHeight="251659264" behindDoc="0" locked="0" layoutInCell="1" allowOverlap="1" wp14:anchorId="1F347586" wp14:editId="3A8D5359">
          <wp:simplePos x="0" y="0"/>
          <wp:positionH relativeFrom="margin">
            <wp:posOffset>-82550</wp:posOffset>
          </wp:positionH>
          <wp:positionV relativeFrom="page">
            <wp:posOffset>118745</wp:posOffset>
          </wp:positionV>
          <wp:extent cx="6108700" cy="1097280"/>
          <wp:effectExtent l="0" t="0" r="6350"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10972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BFCD3" w14:textId="5EF91660" w:rsidR="00E26C58" w:rsidRDefault="00E26C58">
    <w:pPr>
      <w:pStyle w:val="Header"/>
    </w:pPr>
    <w:r w:rsidRPr="00EB6D8C">
      <w:rPr>
        <w:rFonts w:ascii="Times New Roman" w:hAnsi="Times New Roman"/>
        <w:noProof/>
        <w:sz w:val="24"/>
        <w:szCs w:val="24"/>
      </w:rPr>
      <w:drawing>
        <wp:inline distT="0" distB="0" distL="0" distR="0" wp14:anchorId="2BB7F798" wp14:editId="4BA23ACA">
          <wp:extent cx="5929491" cy="831273"/>
          <wp:effectExtent l="0" t="0" r="0" b="6985"/>
          <wp:docPr id="11" name="Content Placeholder 4">
            <a:extLst xmlns:a="http://schemas.openxmlformats.org/drawingml/2006/main">
              <a:ext uri="{FF2B5EF4-FFF2-40B4-BE49-F238E27FC236}">
                <a16:creationId xmlns:a16="http://schemas.microsoft.com/office/drawing/2014/main" id="{3ECE5B1D-16A8-4BDF-BE2F-F8447EF35C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tent Placeholder 4">
                    <a:extLst>
                      <a:ext uri="{FF2B5EF4-FFF2-40B4-BE49-F238E27FC236}">
                        <a16:creationId xmlns:a16="http://schemas.microsoft.com/office/drawing/2014/main" id="{3ECE5B1D-16A8-4BDF-BE2F-F8447EF35C3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6021359" cy="844152"/>
                  </a:xfrm>
                  <a:prstGeom prst="rect">
                    <a:avLst/>
                  </a:prstGeom>
                </pic:spPr>
              </pic:pic>
            </a:graphicData>
          </a:graphic>
        </wp:inline>
      </w:drawing>
    </w:r>
  </w:p>
  <w:p w14:paraId="1F40DCB2" w14:textId="00C26773" w:rsidR="00E26C58" w:rsidRDefault="00E26C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DB8F8" w14:textId="50C22726" w:rsidR="000836F4" w:rsidRPr="00F2364E" w:rsidRDefault="000836F4" w:rsidP="00F2364E">
    <w:pPr>
      <w:pStyle w:val="Heading1"/>
      <w:spacing w:before="0"/>
      <w:rPr>
        <w:rFonts w:ascii="Times New Roman" w:hAnsi="Times New Roman" w:cs="Times New Roman"/>
        <w:color w:val="auto"/>
        <w:sz w:val="24"/>
      </w:rPr>
    </w:pPr>
    <w:r w:rsidRPr="00F2364E">
      <w:rPr>
        <w:rFonts w:ascii="Times New Roman" w:hAnsi="Times New Roman" w:cs="Times New Roman"/>
        <w:noProof/>
        <w:color w:val="auto"/>
        <w:sz w:val="18"/>
        <w:szCs w:val="24"/>
        <w:lang w:eastAsia="en-CA"/>
      </w:rPr>
      <w:drawing>
        <wp:anchor distT="0" distB="0" distL="114300" distR="114300" simplePos="0" relativeHeight="251661312" behindDoc="0" locked="0" layoutInCell="1" allowOverlap="1" wp14:anchorId="5AC3439D" wp14:editId="174FBEBA">
          <wp:simplePos x="0" y="0"/>
          <wp:positionH relativeFrom="margin">
            <wp:posOffset>1056640</wp:posOffset>
          </wp:positionH>
          <wp:positionV relativeFrom="page">
            <wp:posOffset>38100</wp:posOffset>
          </wp:positionV>
          <wp:extent cx="6108700" cy="1097280"/>
          <wp:effectExtent l="0" t="0" r="6350" b="762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1097280"/>
                  </a:xfrm>
                  <a:prstGeom prst="rect">
                    <a:avLst/>
                  </a:prstGeom>
                  <a:noFill/>
                </pic:spPr>
              </pic:pic>
            </a:graphicData>
          </a:graphic>
          <wp14:sizeRelH relativeFrom="page">
            <wp14:pctWidth>0</wp14:pctWidth>
          </wp14:sizeRelH>
          <wp14:sizeRelV relativeFrom="page">
            <wp14:pctHeight>0</wp14:pctHeight>
          </wp14:sizeRelV>
        </wp:anchor>
      </w:drawing>
    </w:r>
  </w:p>
  <w:p w14:paraId="7CDC7C8B" w14:textId="77777777" w:rsidR="000836F4" w:rsidRDefault="000836F4" w:rsidP="00F2364E">
    <w:pPr>
      <w:pStyle w:val="Heading1"/>
      <w:spacing w:before="0"/>
      <w:rPr>
        <w:rFonts w:ascii="Times New Roman" w:hAnsi="Times New Roman" w:cs="Times New Roman"/>
        <w:color w:val="auto"/>
        <w:sz w:val="24"/>
      </w:rPr>
    </w:pPr>
  </w:p>
  <w:p w14:paraId="31A2D95B" w14:textId="77777777" w:rsidR="000836F4" w:rsidRDefault="000836F4" w:rsidP="00F2364E">
    <w:pPr>
      <w:pStyle w:val="Heading1"/>
      <w:spacing w:before="0"/>
      <w:rPr>
        <w:rFonts w:ascii="Times New Roman" w:hAnsi="Times New Roman" w:cs="Times New Roman"/>
        <w:color w:val="auto"/>
        <w:sz w:val="24"/>
      </w:rPr>
    </w:pPr>
  </w:p>
  <w:p w14:paraId="76DC3D5F" w14:textId="50D32F15" w:rsidR="000836F4" w:rsidRDefault="000836F4" w:rsidP="00F2364E">
    <w:pPr>
      <w:pStyle w:val="Heading1"/>
      <w:spacing w:before="0"/>
      <w:rPr>
        <w:rFonts w:ascii="Times New Roman" w:hAnsi="Times New Roman" w:cs="Times New Roman"/>
        <w:color w:val="auto"/>
        <w:sz w:val="24"/>
      </w:rPr>
    </w:pPr>
  </w:p>
  <w:p w14:paraId="37720F71" w14:textId="77777777" w:rsidR="000836F4" w:rsidRPr="00C40019" w:rsidRDefault="000836F4" w:rsidP="00C400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D5505"/>
    <w:multiLevelType w:val="hybridMultilevel"/>
    <w:tmpl w:val="B3600D8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FBE1152"/>
    <w:multiLevelType w:val="hybridMultilevel"/>
    <w:tmpl w:val="5240B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777BC"/>
    <w:multiLevelType w:val="hybridMultilevel"/>
    <w:tmpl w:val="791A74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67A7D17"/>
    <w:multiLevelType w:val="hybridMultilevel"/>
    <w:tmpl w:val="CFA0E4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BA6F19"/>
    <w:multiLevelType w:val="hybridMultilevel"/>
    <w:tmpl w:val="CD48FC5C"/>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B511B76"/>
    <w:multiLevelType w:val="hybridMultilevel"/>
    <w:tmpl w:val="854ADB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208006CE"/>
    <w:multiLevelType w:val="hybridMultilevel"/>
    <w:tmpl w:val="6B2261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6EE31AF"/>
    <w:multiLevelType w:val="hybridMultilevel"/>
    <w:tmpl w:val="968C07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4373A1"/>
    <w:multiLevelType w:val="hybridMultilevel"/>
    <w:tmpl w:val="7D64014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28E1709D"/>
    <w:multiLevelType w:val="hybridMultilevel"/>
    <w:tmpl w:val="042ED7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A0C42F5"/>
    <w:multiLevelType w:val="hybridMultilevel"/>
    <w:tmpl w:val="E48C95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2202E45"/>
    <w:multiLevelType w:val="hybridMultilevel"/>
    <w:tmpl w:val="77B830C0"/>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3EF21E9"/>
    <w:multiLevelType w:val="hybridMultilevel"/>
    <w:tmpl w:val="581CC3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6D4328A"/>
    <w:multiLevelType w:val="hybridMultilevel"/>
    <w:tmpl w:val="4CF8533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37C3650A"/>
    <w:multiLevelType w:val="hybridMultilevel"/>
    <w:tmpl w:val="2EB8ABF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37C370CB"/>
    <w:multiLevelType w:val="hybridMultilevel"/>
    <w:tmpl w:val="D558097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8C05044"/>
    <w:multiLevelType w:val="hybridMultilevel"/>
    <w:tmpl w:val="C63C97A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A3D077F"/>
    <w:multiLevelType w:val="hybridMultilevel"/>
    <w:tmpl w:val="861C47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CE561FB"/>
    <w:multiLevelType w:val="hybridMultilevel"/>
    <w:tmpl w:val="392013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F821FB3"/>
    <w:multiLevelType w:val="hybridMultilevel"/>
    <w:tmpl w:val="7DC42C7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08F76FA"/>
    <w:multiLevelType w:val="hybridMultilevel"/>
    <w:tmpl w:val="EB281CB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40FF3E32"/>
    <w:multiLevelType w:val="hybridMultilevel"/>
    <w:tmpl w:val="7E18CE62"/>
    <w:lvl w:ilvl="0" w:tplc="10090001">
      <w:start w:val="1"/>
      <w:numFmt w:val="bullet"/>
      <w:lvlText w:val=""/>
      <w:lvlJc w:val="left"/>
      <w:pPr>
        <w:ind w:left="297" w:hanging="360"/>
      </w:pPr>
      <w:rPr>
        <w:rFonts w:ascii="Symbol" w:hAnsi="Symbol" w:hint="default"/>
      </w:rPr>
    </w:lvl>
    <w:lvl w:ilvl="1" w:tplc="10090001">
      <w:start w:val="1"/>
      <w:numFmt w:val="bullet"/>
      <w:lvlText w:val=""/>
      <w:lvlJc w:val="left"/>
      <w:pPr>
        <w:ind w:left="1017" w:hanging="360"/>
      </w:pPr>
      <w:rPr>
        <w:rFonts w:ascii="Symbol" w:hAnsi="Symbol" w:hint="default"/>
      </w:rPr>
    </w:lvl>
    <w:lvl w:ilvl="2" w:tplc="10090005" w:tentative="1">
      <w:start w:val="1"/>
      <w:numFmt w:val="bullet"/>
      <w:lvlText w:val=""/>
      <w:lvlJc w:val="left"/>
      <w:pPr>
        <w:ind w:left="1737" w:hanging="360"/>
      </w:pPr>
      <w:rPr>
        <w:rFonts w:ascii="Wingdings" w:hAnsi="Wingdings" w:hint="default"/>
      </w:rPr>
    </w:lvl>
    <w:lvl w:ilvl="3" w:tplc="10090001" w:tentative="1">
      <w:start w:val="1"/>
      <w:numFmt w:val="bullet"/>
      <w:lvlText w:val=""/>
      <w:lvlJc w:val="left"/>
      <w:pPr>
        <w:ind w:left="2457" w:hanging="360"/>
      </w:pPr>
      <w:rPr>
        <w:rFonts w:ascii="Symbol" w:hAnsi="Symbol" w:hint="default"/>
      </w:rPr>
    </w:lvl>
    <w:lvl w:ilvl="4" w:tplc="10090003" w:tentative="1">
      <w:start w:val="1"/>
      <w:numFmt w:val="bullet"/>
      <w:lvlText w:val="o"/>
      <w:lvlJc w:val="left"/>
      <w:pPr>
        <w:ind w:left="3177" w:hanging="360"/>
      </w:pPr>
      <w:rPr>
        <w:rFonts w:ascii="Courier New" w:hAnsi="Courier New" w:cs="Courier New" w:hint="default"/>
      </w:rPr>
    </w:lvl>
    <w:lvl w:ilvl="5" w:tplc="10090005" w:tentative="1">
      <w:start w:val="1"/>
      <w:numFmt w:val="bullet"/>
      <w:lvlText w:val=""/>
      <w:lvlJc w:val="left"/>
      <w:pPr>
        <w:ind w:left="3897" w:hanging="360"/>
      </w:pPr>
      <w:rPr>
        <w:rFonts w:ascii="Wingdings" w:hAnsi="Wingdings" w:hint="default"/>
      </w:rPr>
    </w:lvl>
    <w:lvl w:ilvl="6" w:tplc="10090001" w:tentative="1">
      <w:start w:val="1"/>
      <w:numFmt w:val="bullet"/>
      <w:lvlText w:val=""/>
      <w:lvlJc w:val="left"/>
      <w:pPr>
        <w:ind w:left="4617" w:hanging="360"/>
      </w:pPr>
      <w:rPr>
        <w:rFonts w:ascii="Symbol" w:hAnsi="Symbol" w:hint="default"/>
      </w:rPr>
    </w:lvl>
    <w:lvl w:ilvl="7" w:tplc="10090003" w:tentative="1">
      <w:start w:val="1"/>
      <w:numFmt w:val="bullet"/>
      <w:lvlText w:val="o"/>
      <w:lvlJc w:val="left"/>
      <w:pPr>
        <w:ind w:left="5337" w:hanging="360"/>
      </w:pPr>
      <w:rPr>
        <w:rFonts w:ascii="Courier New" w:hAnsi="Courier New" w:cs="Courier New" w:hint="default"/>
      </w:rPr>
    </w:lvl>
    <w:lvl w:ilvl="8" w:tplc="10090005" w:tentative="1">
      <w:start w:val="1"/>
      <w:numFmt w:val="bullet"/>
      <w:lvlText w:val=""/>
      <w:lvlJc w:val="left"/>
      <w:pPr>
        <w:ind w:left="6057" w:hanging="360"/>
      </w:pPr>
      <w:rPr>
        <w:rFonts w:ascii="Wingdings" w:hAnsi="Wingdings" w:hint="default"/>
      </w:rPr>
    </w:lvl>
  </w:abstractNum>
  <w:abstractNum w:abstractNumId="22" w15:restartNumberingAfterBreak="0">
    <w:nsid w:val="4137170C"/>
    <w:multiLevelType w:val="hybridMultilevel"/>
    <w:tmpl w:val="D5941FAC"/>
    <w:lvl w:ilvl="0" w:tplc="10090001">
      <w:start w:val="1"/>
      <w:numFmt w:val="bullet"/>
      <w:lvlText w:val=""/>
      <w:lvlJc w:val="left"/>
      <w:pPr>
        <w:ind w:left="366" w:hanging="360"/>
      </w:pPr>
      <w:rPr>
        <w:rFonts w:ascii="Symbol" w:hAnsi="Symbol" w:hint="default"/>
      </w:rPr>
    </w:lvl>
    <w:lvl w:ilvl="1" w:tplc="10090003" w:tentative="1">
      <w:start w:val="1"/>
      <w:numFmt w:val="bullet"/>
      <w:lvlText w:val="o"/>
      <w:lvlJc w:val="left"/>
      <w:pPr>
        <w:ind w:left="1086" w:hanging="360"/>
      </w:pPr>
      <w:rPr>
        <w:rFonts w:ascii="Courier New" w:hAnsi="Courier New" w:cs="Courier New" w:hint="default"/>
      </w:rPr>
    </w:lvl>
    <w:lvl w:ilvl="2" w:tplc="10090005" w:tentative="1">
      <w:start w:val="1"/>
      <w:numFmt w:val="bullet"/>
      <w:lvlText w:val=""/>
      <w:lvlJc w:val="left"/>
      <w:pPr>
        <w:ind w:left="1806" w:hanging="360"/>
      </w:pPr>
      <w:rPr>
        <w:rFonts w:ascii="Wingdings" w:hAnsi="Wingdings" w:hint="default"/>
      </w:rPr>
    </w:lvl>
    <w:lvl w:ilvl="3" w:tplc="10090001" w:tentative="1">
      <w:start w:val="1"/>
      <w:numFmt w:val="bullet"/>
      <w:lvlText w:val=""/>
      <w:lvlJc w:val="left"/>
      <w:pPr>
        <w:ind w:left="2526" w:hanging="360"/>
      </w:pPr>
      <w:rPr>
        <w:rFonts w:ascii="Symbol" w:hAnsi="Symbol" w:hint="default"/>
      </w:rPr>
    </w:lvl>
    <w:lvl w:ilvl="4" w:tplc="10090003" w:tentative="1">
      <w:start w:val="1"/>
      <w:numFmt w:val="bullet"/>
      <w:lvlText w:val="o"/>
      <w:lvlJc w:val="left"/>
      <w:pPr>
        <w:ind w:left="3246" w:hanging="360"/>
      </w:pPr>
      <w:rPr>
        <w:rFonts w:ascii="Courier New" w:hAnsi="Courier New" w:cs="Courier New" w:hint="default"/>
      </w:rPr>
    </w:lvl>
    <w:lvl w:ilvl="5" w:tplc="10090005" w:tentative="1">
      <w:start w:val="1"/>
      <w:numFmt w:val="bullet"/>
      <w:lvlText w:val=""/>
      <w:lvlJc w:val="left"/>
      <w:pPr>
        <w:ind w:left="3966" w:hanging="360"/>
      </w:pPr>
      <w:rPr>
        <w:rFonts w:ascii="Wingdings" w:hAnsi="Wingdings" w:hint="default"/>
      </w:rPr>
    </w:lvl>
    <w:lvl w:ilvl="6" w:tplc="10090001" w:tentative="1">
      <w:start w:val="1"/>
      <w:numFmt w:val="bullet"/>
      <w:lvlText w:val=""/>
      <w:lvlJc w:val="left"/>
      <w:pPr>
        <w:ind w:left="4686" w:hanging="360"/>
      </w:pPr>
      <w:rPr>
        <w:rFonts w:ascii="Symbol" w:hAnsi="Symbol" w:hint="default"/>
      </w:rPr>
    </w:lvl>
    <w:lvl w:ilvl="7" w:tplc="10090003" w:tentative="1">
      <w:start w:val="1"/>
      <w:numFmt w:val="bullet"/>
      <w:lvlText w:val="o"/>
      <w:lvlJc w:val="left"/>
      <w:pPr>
        <w:ind w:left="5406" w:hanging="360"/>
      </w:pPr>
      <w:rPr>
        <w:rFonts w:ascii="Courier New" w:hAnsi="Courier New" w:cs="Courier New" w:hint="default"/>
      </w:rPr>
    </w:lvl>
    <w:lvl w:ilvl="8" w:tplc="10090005" w:tentative="1">
      <w:start w:val="1"/>
      <w:numFmt w:val="bullet"/>
      <w:lvlText w:val=""/>
      <w:lvlJc w:val="left"/>
      <w:pPr>
        <w:ind w:left="6126" w:hanging="360"/>
      </w:pPr>
      <w:rPr>
        <w:rFonts w:ascii="Wingdings" w:hAnsi="Wingdings" w:hint="default"/>
      </w:rPr>
    </w:lvl>
  </w:abstractNum>
  <w:abstractNum w:abstractNumId="23" w15:restartNumberingAfterBreak="0">
    <w:nsid w:val="455B06C0"/>
    <w:multiLevelType w:val="hybridMultilevel"/>
    <w:tmpl w:val="6E5069FA"/>
    <w:lvl w:ilvl="0" w:tplc="10090001">
      <w:start w:val="1"/>
      <w:numFmt w:val="bullet"/>
      <w:lvlText w:val=""/>
      <w:lvlJc w:val="left"/>
      <w:pPr>
        <w:ind w:left="2850" w:hanging="360"/>
      </w:pPr>
      <w:rPr>
        <w:rFonts w:ascii="Symbol" w:hAnsi="Symbol" w:hint="default"/>
      </w:rPr>
    </w:lvl>
    <w:lvl w:ilvl="1" w:tplc="04090003" w:tentative="1">
      <w:start w:val="1"/>
      <w:numFmt w:val="bullet"/>
      <w:lvlText w:val="o"/>
      <w:lvlJc w:val="left"/>
      <w:pPr>
        <w:ind w:left="3570" w:hanging="360"/>
      </w:pPr>
      <w:rPr>
        <w:rFonts w:ascii="Courier New" w:hAnsi="Courier New" w:cs="Courier New" w:hint="default"/>
      </w:rPr>
    </w:lvl>
    <w:lvl w:ilvl="2" w:tplc="04090005" w:tentative="1">
      <w:start w:val="1"/>
      <w:numFmt w:val="bullet"/>
      <w:lvlText w:val=""/>
      <w:lvlJc w:val="left"/>
      <w:pPr>
        <w:ind w:left="4290" w:hanging="360"/>
      </w:pPr>
      <w:rPr>
        <w:rFonts w:ascii="Wingdings" w:hAnsi="Wingdings" w:hint="default"/>
      </w:rPr>
    </w:lvl>
    <w:lvl w:ilvl="3" w:tplc="04090001" w:tentative="1">
      <w:start w:val="1"/>
      <w:numFmt w:val="bullet"/>
      <w:lvlText w:val=""/>
      <w:lvlJc w:val="left"/>
      <w:pPr>
        <w:ind w:left="5010" w:hanging="360"/>
      </w:pPr>
      <w:rPr>
        <w:rFonts w:ascii="Symbol" w:hAnsi="Symbol" w:hint="default"/>
      </w:rPr>
    </w:lvl>
    <w:lvl w:ilvl="4" w:tplc="04090003" w:tentative="1">
      <w:start w:val="1"/>
      <w:numFmt w:val="bullet"/>
      <w:lvlText w:val="o"/>
      <w:lvlJc w:val="left"/>
      <w:pPr>
        <w:ind w:left="5730" w:hanging="360"/>
      </w:pPr>
      <w:rPr>
        <w:rFonts w:ascii="Courier New" w:hAnsi="Courier New" w:cs="Courier New" w:hint="default"/>
      </w:rPr>
    </w:lvl>
    <w:lvl w:ilvl="5" w:tplc="04090005" w:tentative="1">
      <w:start w:val="1"/>
      <w:numFmt w:val="bullet"/>
      <w:lvlText w:val=""/>
      <w:lvlJc w:val="left"/>
      <w:pPr>
        <w:ind w:left="6450" w:hanging="360"/>
      </w:pPr>
      <w:rPr>
        <w:rFonts w:ascii="Wingdings" w:hAnsi="Wingdings" w:hint="default"/>
      </w:rPr>
    </w:lvl>
    <w:lvl w:ilvl="6" w:tplc="04090001" w:tentative="1">
      <w:start w:val="1"/>
      <w:numFmt w:val="bullet"/>
      <w:lvlText w:val=""/>
      <w:lvlJc w:val="left"/>
      <w:pPr>
        <w:ind w:left="7170" w:hanging="360"/>
      </w:pPr>
      <w:rPr>
        <w:rFonts w:ascii="Symbol" w:hAnsi="Symbol" w:hint="default"/>
      </w:rPr>
    </w:lvl>
    <w:lvl w:ilvl="7" w:tplc="04090003" w:tentative="1">
      <w:start w:val="1"/>
      <w:numFmt w:val="bullet"/>
      <w:lvlText w:val="o"/>
      <w:lvlJc w:val="left"/>
      <w:pPr>
        <w:ind w:left="7890" w:hanging="360"/>
      </w:pPr>
      <w:rPr>
        <w:rFonts w:ascii="Courier New" w:hAnsi="Courier New" w:cs="Courier New" w:hint="default"/>
      </w:rPr>
    </w:lvl>
    <w:lvl w:ilvl="8" w:tplc="04090005" w:tentative="1">
      <w:start w:val="1"/>
      <w:numFmt w:val="bullet"/>
      <w:lvlText w:val=""/>
      <w:lvlJc w:val="left"/>
      <w:pPr>
        <w:ind w:left="8610" w:hanging="360"/>
      </w:pPr>
      <w:rPr>
        <w:rFonts w:ascii="Wingdings" w:hAnsi="Wingdings" w:hint="default"/>
      </w:rPr>
    </w:lvl>
  </w:abstractNum>
  <w:abstractNum w:abstractNumId="24" w15:restartNumberingAfterBreak="0">
    <w:nsid w:val="4900420A"/>
    <w:multiLevelType w:val="hybridMultilevel"/>
    <w:tmpl w:val="7E12E41E"/>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49254641"/>
    <w:multiLevelType w:val="hybridMultilevel"/>
    <w:tmpl w:val="E0B87148"/>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4A65524E"/>
    <w:multiLevelType w:val="hybridMultilevel"/>
    <w:tmpl w:val="646E55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0150BF6"/>
    <w:multiLevelType w:val="hybridMultilevel"/>
    <w:tmpl w:val="F7447F42"/>
    <w:lvl w:ilvl="0" w:tplc="10090001">
      <w:start w:val="1"/>
      <w:numFmt w:val="bullet"/>
      <w:lvlText w:val=""/>
      <w:lvlJc w:val="left"/>
      <w:pPr>
        <w:ind w:left="5594"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51822F45"/>
    <w:multiLevelType w:val="hybridMultilevel"/>
    <w:tmpl w:val="4B520134"/>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5198087E"/>
    <w:multiLevelType w:val="hybridMultilevel"/>
    <w:tmpl w:val="E13EB8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5B952B8"/>
    <w:multiLevelType w:val="hybridMultilevel"/>
    <w:tmpl w:val="4E08FE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56890E58"/>
    <w:multiLevelType w:val="hybridMultilevel"/>
    <w:tmpl w:val="F684C0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578C4E65"/>
    <w:multiLevelType w:val="hybridMultilevel"/>
    <w:tmpl w:val="7604E9A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063AC0"/>
    <w:multiLevelType w:val="hybridMultilevel"/>
    <w:tmpl w:val="2DEE5862"/>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5E011DA6"/>
    <w:multiLevelType w:val="multilevel"/>
    <w:tmpl w:val="66B8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3F1C92"/>
    <w:multiLevelType w:val="hybridMultilevel"/>
    <w:tmpl w:val="70F8487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720" w:hanging="360"/>
      </w:pPr>
      <w:rPr>
        <w:rFonts w:ascii="Courier New" w:hAnsi="Courier New" w:cs="Courier New" w:hint="default"/>
      </w:rPr>
    </w:lvl>
    <w:lvl w:ilvl="2" w:tplc="10090005">
      <w:start w:val="1"/>
      <w:numFmt w:val="bullet"/>
      <w:lvlText w:val=""/>
      <w:lvlJc w:val="left"/>
      <w:pPr>
        <w:ind w:left="0" w:hanging="360"/>
      </w:pPr>
      <w:rPr>
        <w:rFonts w:ascii="Wingdings" w:hAnsi="Wingdings" w:hint="default"/>
      </w:rPr>
    </w:lvl>
    <w:lvl w:ilvl="3" w:tplc="10090001">
      <w:start w:val="1"/>
      <w:numFmt w:val="bullet"/>
      <w:lvlText w:val=""/>
      <w:lvlJc w:val="left"/>
      <w:pPr>
        <w:ind w:left="720" w:hanging="360"/>
      </w:pPr>
      <w:rPr>
        <w:rFonts w:ascii="Symbol" w:hAnsi="Symbol" w:hint="default"/>
      </w:rPr>
    </w:lvl>
    <w:lvl w:ilvl="4" w:tplc="10090003" w:tentative="1">
      <w:start w:val="1"/>
      <w:numFmt w:val="bullet"/>
      <w:lvlText w:val="o"/>
      <w:lvlJc w:val="left"/>
      <w:pPr>
        <w:ind w:left="1440" w:hanging="360"/>
      </w:pPr>
      <w:rPr>
        <w:rFonts w:ascii="Courier New" w:hAnsi="Courier New" w:cs="Courier New" w:hint="default"/>
      </w:rPr>
    </w:lvl>
    <w:lvl w:ilvl="5" w:tplc="10090005" w:tentative="1">
      <w:start w:val="1"/>
      <w:numFmt w:val="bullet"/>
      <w:lvlText w:val=""/>
      <w:lvlJc w:val="left"/>
      <w:pPr>
        <w:ind w:left="2160" w:hanging="360"/>
      </w:pPr>
      <w:rPr>
        <w:rFonts w:ascii="Wingdings" w:hAnsi="Wingdings" w:hint="default"/>
      </w:rPr>
    </w:lvl>
    <w:lvl w:ilvl="6" w:tplc="10090001" w:tentative="1">
      <w:start w:val="1"/>
      <w:numFmt w:val="bullet"/>
      <w:lvlText w:val=""/>
      <w:lvlJc w:val="left"/>
      <w:pPr>
        <w:ind w:left="2880" w:hanging="360"/>
      </w:pPr>
      <w:rPr>
        <w:rFonts w:ascii="Symbol" w:hAnsi="Symbol" w:hint="default"/>
      </w:rPr>
    </w:lvl>
    <w:lvl w:ilvl="7" w:tplc="10090003" w:tentative="1">
      <w:start w:val="1"/>
      <w:numFmt w:val="bullet"/>
      <w:lvlText w:val="o"/>
      <w:lvlJc w:val="left"/>
      <w:pPr>
        <w:ind w:left="3600" w:hanging="360"/>
      </w:pPr>
      <w:rPr>
        <w:rFonts w:ascii="Courier New" w:hAnsi="Courier New" w:cs="Courier New" w:hint="default"/>
      </w:rPr>
    </w:lvl>
    <w:lvl w:ilvl="8" w:tplc="10090005" w:tentative="1">
      <w:start w:val="1"/>
      <w:numFmt w:val="bullet"/>
      <w:lvlText w:val=""/>
      <w:lvlJc w:val="left"/>
      <w:pPr>
        <w:ind w:left="4320" w:hanging="360"/>
      </w:pPr>
      <w:rPr>
        <w:rFonts w:ascii="Wingdings" w:hAnsi="Wingdings" w:hint="default"/>
      </w:rPr>
    </w:lvl>
  </w:abstractNum>
  <w:abstractNum w:abstractNumId="36" w15:restartNumberingAfterBreak="0">
    <w:nsid w:val="6051536B"/>
    <w:multiLevelType w:val="hybridMultilevel"/>
    <w:tmpl w:val="6D5E34D2"/>
    <w:lvl w:ilvl="0" w:tplc="10090001">
      <w:start w:val="1"/>
      <w:numFmt w:val="bullet"/>
      <w:lvlText w:val=""/>
      <w:lvlJc w:val="left"/>
      <w:pPr>
        <w:ind w:left="1074" w:hanging="360"/>
      </w:pPr>
      <w:rPr>
        <w:rFonts w:ascii="Symbol" w:hAnsi="Symbol" w:hint="default"/>
      </w:rPr>
    </w:lvl>
    <w:lvl w:ilvl="1" w:tplc="10090003">
      <w:start w:val="1"/>
      <w:numFmt w:val="bullet"/>
      <w:lvlText w:val="o"/>
      <w:lvlJc w:val="left"/>
      <w:pPr>
        <w:ind w:left="1794" w:hanging="360"/>
      </w:pPr>
      <w:rPr>
        <w:rFonts w:ascii="Courier New" w:hAnsi="Courier New" w:cs="Courier New" w:hint="default"/>
      </w:rPr>
    </w:lvl>
    <w:lvl w:ilvl="2" w:tplc="10090005">
      <w:start w:val="1"/>
      <w:numFmt w:val="bullet"/>
      <w:lvlText w:val=""/>
      <w:lvlJc w:val="left"/>
      <w:pPr>
        <w:ind w:left="2514" w:hanging="360"/>
      </w:pPr>
      <w:rPr>
        <w:rFonts w:ascii="Wingdings" w:hAnsi="Wingdings" w:hint="default"/>
      </w:rPr>
    </w:lvl>
    <w:lvl w:ilvl="3" w:tplc="10090001" w:tentative="1">
      <w:start w:val="1"/>
      <w:numFmt w:val="bullet"/>
      <w:lvlText w:val=""/>
      <w:lvlJc w:val="left"/>
      <w:pPr>
        <w:ind w:left="3234" w:hanging="360"/>
      </w:pPr>
      <w:rPr>
        <w:rFonts w:ascii="Symbol" w:hAnsi="Symbol" w:hint="default"/>
      </w:rPr>
    </w:lvl>
    <w:lvl w:ilvl="4" w:tplc="10090003" w:tentative="1">
      <w:start w:val="1"/>
      <w:numFmt w:val="bullet"/>
      <w:lvlText w:val="o"/>
      <w:lvlJc w:val="left"/>
      <w:pPr>
        <w:ind w:left="3954" w:hanging="360"/>
      </w:pPr>
      <w:rPr>
        <w:rFonts w:ascii="Courier New" w:hAnsi="Courier New" w:cs="Courier New" w:hint="default"/>
      </w:rPr>
    </w:lvl>
    <w:lvl w:ilvl="5" w:tplc="10090005" w:tentative="1">
      <w:start w:val="1"/>
      <w:numFmt w:val="bullet"/>
      <w:lvlText w:val=""/>
      <w:lvlJc w:val="left"/>
      <w:pPr>
        <w:ind w:left="4674" w:hanging="360"/>
      </w:pPr>
      <w:rPr>
        <w:rFonts w:ascii="Wingdings" w:hAnsi="Wingdings" w:hint="default"/>
      </w:rPr>
    </w:lvl>
    <w:lvl w:ilvl="6" w:tplc="10090001" w:tentative="1">
      <w:start w:val="1"/>
      <w:numFmt w:val="bullet"/>
      <w:lvlText w:val=""/>
      <w:lvlJc w:val="left"/>
      <w:pPr>
        <w:ind w:left="5394" w:hanging="360"/>
      </w:pPr>
      <w:rPr>
        <w:rFonts w:ascii="Symbol" w:hAnsi="Symbol" w:hint="default"/>
      </w:rPr>
    </w:lvl>
    <w:lvl w:ilvl="7" w:tplc="10090003" w:tentative="1">
      <w:start w:val="1"/>
      <w:numFmt w:val="bullet"/>
      <w:lvlText w:val="o"/>
      <w:lvlJc w:val="left"/>
      <w:pPr>
        <w:ind w:left="6114" w:hanging="360"/>
      </w:pPr>
      <w:rPr>
        <w:rFonts w:ascii="Courier New" w:hAnsi="Courier New" w:cs="Courier New" w:hint="default"/>
      </w:rPr>
    </w:lvl>
    <w:lvl w:ilvl="8" w:tplc="10090005" w:tentative="1">
      <w:start w:val="1"/>
      <w:numFmt w:val="bullet"/>
      <w:lvlText w:val=""/>
      <w:lvlJc w:val="left"/>
      <w:pPr>
        <w:ind w:left="6834" w:hanging="360"/>
      </w:pPr>
      <w:rPr>
        <w:rFonts w:ascii="Wingdings" w:hAnsi="Wingdings" w:hint="default"/>
      </w:rPr>
    </w:lvl>
  </w:abstractNum>
  <w:abstractNum w:abstractNumId="37" w15:restartNumberingAfterBreak="0">
    <w:nsid w:val="605C6CAF"/>
    <w:multiLevelType w:val="hybridMultilevel"/>
    <w:tmpl w:val="7CCAF37A"/>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15:restartNumberingAfterBreak="0">
    <w:nsid w:val="60A32B1B"/>
    <w:multiLevelType w:val="multilevel"/>
    <w:tmpl w:val="DED8B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9B38CE"/>
    <w:multiLevelType w:val="hybridMultilevel"/>
    <w:tmpl w:val="051AFA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65F52E10"/>
    <w:multiLevelType w:val="hybridMultilevel"/>
    <w:tmpl w:val="C48254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7DE73BF"/>
    <w:multiLevelType w:val="hybridMultilevel"/>
    <w:tmpl w:val="5AD6469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8277874"/>
    <w:multiLevelType w:val="hybridMultilevel"/>
    <w:tmpl w:val="A55688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8320519"/>
    <w:multiLevelType w:val="hybridMultilevel"/>
    <w:tmpl w:val="70C220C4"/>
    <w:lvl w:ilvl="0" w:tplc="04090001">
      <w:start w:val="1"/>
      <w:numFmt w:val="bullet"/>
      <w:lvlText w:val=""/>
      <w:lvlJc w:val="left"/>
      <w:pPr>
        <w:ind w:left="5361" w:hanging="360"/>
      </w:pPr>
      <w:rPr>
        <w:rFonts w:ascii="Symbol" w:hAnsi="Symbol" w:hint="default"/>
      </w:rPr>
    </w:lvl>
    <w:lvl w:ilvl="1" w:tplc="04090003" w:tentative="1">
      <w:start w:val="1"/>
      <w:numFmt w:val="bullet"/>
      <w:lvlText w:val="o"/>
      <w:lvlJc w:val="left"/>
      <w:pPr>
        <w:ind w:left="6081" w:hanging="360"/>
      </w:pPr>
      <w:rPr>
        <w:rFonts w:ascii="Courier New" w:hAnsi="Courier New" w:cs="Courier New" w:hint="default"/>
      </w:rPr>
    </w:lvl>
    <w:lvl w:ilvl="2" w:tplc="04090005" w:tentative="1">
      <w:start w:val="1"/>
      <w:numFmt w:val="bullet"/>
      <w:lvlText w:val=""/>
      <w:lvlJc w:val="left"/>
      <w:pPr>
        <w:ind w:left="6801" w:hanging="360"/>
      </w:pPr>
      <w:rPr>
        <w:rFonts w:ascii="Wingdings" w:hAnsi="Wingdings" w:hint="default"/>
      </w:rPr>
    </w:lvl>
    <w:lvl w:ilvl="3" w:tplc="04090001" w:tentative="1">
      <w:start w:val="1"/>
      <w:numFmt w:val="bullet"/>
      <w:lvlText w:val=""/>
      <w:lvlJc w:val="left"/>
      <w:pPr>
        <w:ind w:left="7521" w:hanging="360"/>
      </w:pPr>
      <w:rPr>
        <w:rFonts w:ascii="Symbol" w:hAnsi="Symbol" w:hint="default"/>
      </w:rPr>
    </w:lvl>
    <w:lvl w:ilvl="4" w:tplc="04090003" w:tentative="1">
      <w:start w:val="1"/>
      <w:numFmt w:val="bullet"/>
      <w:lvlText w:val="o"/>
      <w:lvlJc w:val="left"/>
      <w:pPr>
        <w:ind w:left="8241" w:hanging="360"/>
      </w:pPr>
      <w:rPr>
        <w:rFonts w:ascii="Courier New" w:hAnsi="Courier New" w:cs="Courier New" w:hint="default"/>
      </w:rPr>
    </w:lvl>
    <w:lvl w:ilvl="5" w:tplc="04090005" w:tentative="1">
      <w:start w:val="1"/>
      <w:numFmt w:val="bullet"/>
      <w:lvlText w:val=""/>
      <w:lvlJc w:val="left"/>
      <w:pPr>
        <w:ind w:left="8961" w:hanging="360"/>
      </w:pPr>
      <w:rPr>
        <w:rFonts w:ascii="Wingdings" w:hAnsi="Wingdings" w:hint="default"/>
      </w:rPr>
    </w:lvl>
    <w:lvl w:ilvl="6" w:tplc="04090001" w:tentative="1">
      <w:start w:val="1"/>
      <w:numFmt w:val="bullet"/>
      <w:lvlText w:val=""/>
      <w:lvlJc w:val="left"/>
      <w:pPr>
        <w:ind w:left="9681" w:hanging="360"/>
      </w:pPr>
      <w:rPr>
        <w:rFonts w:ascii="Symbol" w:hAnsi="Symbol" w:hint="default"/>
      </w:rPr>
    </w:lvl>
    <w:lvl w:ilvl="7" w:tplc="04090003" w:tentative="1">
      <w:start w:val="1"/>
      <w:numFmt w:val="bullet"/>
      <w:lvlText w:val="o"/>
      <w:lvlJc w:val="left"/>
      <w:pPr>
        <w:ind w:left="10401" w:hanging="360"/>
      </w:pPr>
      <w:rPr>
        <w:rFonts w:ascii="Courier New" w:hAnsi="Courier New" w:cs="Courier New" w:hint="default"/>
      </w:rPr>
    </w:lvl>
    <w:lvl w:ilvl="8" w:tplc="04090005" w:tentative="1">
      <w:start w:val="1"/>
      <w:numFmt w:val="bullet"/>
      <w:lvlText w:val=""/>
      <w:lvlJc w:val="left"/>
      <w:pPr>
        <w:ind w:left="11121" w:hanging="360"/>
      </w:pPr>
      <w:rPr>
        <w:rFonts w:ascii="Wingdings" w:hAnsi="Wingdings" w:hint="default"/>
      </w:rPr>
    </w:lvl>
  </w:abstractNum>
  <w:abstractNum w:abstractNumId="44" w15:restartNumberingAfterBreak="0">
    <w:nsid w:val="69BB03C6"/>
    <w:multiLevelType w:val="hybridMultilevel"/>
    <w:tmpl w:val="F2D8E4EC"/>
    <w:lvl w:ilvl="0" w:tplc="10090003">
      <w:start w:val="1"/>
      <w:numFmt w:val="bullet"/>
      <w:lvlText w:val="o"/>
      <w:lvlJc w:val="left"/>
      <w:pPr>
        <w:ind w:left="1074" w:hanging="360"/>
      </w:pPr>
      <w:rPr>
        <w:rFonts w:ascii="Courier New" w:hAnsi="Courier New" w:cs="Courier New" w:hint="default"/>
      </w:rPr>
    </w:lvl>
    <w:lvl w:ilvl="1" w:tplc="10090003">
      <w:start w:val="1"/>
      <w:numFmt w:val="bullet"/>
      <w:lvlText w:val="o"/>
      <w:lvlJc w:val="left"/>
      <w:pPr>
        <w:ind w:left="1794" w:hanging="360"/>
      </w:pPr>
      <w:rPr>
        <w:rFonts w:ascii="Courier New" w:hAnsi="Courier New" w:cs="Courier New" w:hint="default"/>
      </w:rPr>
    </w:lvl>
    <w:lvl w:ilvl="2" w:tplc="10090005">
      <w:start w:val="1"/>
      <w:numFmt w:val="bullet"/>
      <w:lvlText w:val=""/>
      <w:lvlJc w:val="left"/>
      <w:pPr>
        <w:ind w:left="2514" w:hanging="360"/>
      </w:pPr>
      <w:rPr>
        <w:rFonts w:ascii="Wingdings" w:hAnsi="Wingdings" w:hint="default"/>
      </w:rPr>
    </w:lvl>
    <w:lvl w:ilvl="3" w:tplc="10090001" w:tentative="1">
      <w:start w:val="1"/>
      <w:numFmt w:val="bullet"/>
      <w:lvlText w:val=""/>
      <w:lvlJc w:val="left"/>
      <w:pPr>
        <w:ind w:left="3234" w:hanging="360"/>
      </w:pPr>
      <w:rPr>
        <w:rFonts w:ascii="Symbol" w:hAnsi="Symbol" w:hint="default"/>
      </w:rPr>
    </w:lvl>
    <w:lvl w:ilvl="4" w:tplc="10090003" w:tentative="1">
      <w:start w:val="1"/>
      <w:numFmt w:val="bullet"/>
      <w:lvlText w:val="o"/>
      <w:lvlJc w:val="left"/>
      <w:pPr>
        <w:ind w:left="3954" w:hanging="360"/>
      </w:pPr>
      <w:rPr>
        <w:rFonts w:ascii="Courier New" w:hAnsi="Courier New" w:cs="Courier New" w:hint="default"/>
      </w:rPr>
    </w:lvl>
    <w:lvl w:ilvl="5" w:tplc="10090005" w:tentative="1">
      <w:start w:val="1"/>
      <w:numFmt w:val="bullet"/>
      <w:lvlText w:val=""/>
      <w:lvlJc w:val="left"/>
      <w:pPr>
        <w:ind w:left="4674" w:hanging="360"/>
      </w:pPr>
      <w:rPr>
        <w:rFonts w:ascii="Wingdings" w:hAnsi="Wingdings" w:hint="default"/>
      </w:rPr>
    </w:lvl>
    <w:lvl w:ilvl="6" w:tplc="10090001" w:tentative="1">
      <w:start w:val="1"/>
      <w:numFmt w:val="bullet"/>
      <w:lvlText w:val=""/>
      <w:lvlJc w:val="left"/>
      <w:pPr>
        <w:ind w:left="5394" w:hanging="360"/>
      </w:pPr>
      <w:rPr>
        <w:rFonts w:ascii="Symbol" w:hAnsi="Symbol" w:hint="default"/>
      </w:rPr>
    </w:lvl>
    <w:lvl w:ilvl="7" w:tplc="10090003" w:tentative="1">
      <w:start w:val="1"/>
      <w:numFmt w:val="bullet"/>
      <w:lvlText w:val="o"/>
      <w:lvlJc w:val="left"/>
      <w:pPr>
        <w:ind w:left="6114" w:hanging="360"/>
      </w:pPr>
      <w:rPr>
        <w:rFonts w:ascii="Courier New" w:hAnsi="Courier New" w:cs="Courier New" w:hint="default"/>
      </w:rPr>
    </w:lvl>
    <w:lvl w:ilvl="8" w:tplc="10090005" w:tentative="1">
      <w:start w:val="1"/>
      <w:numFmt w:val="bullet"/>
      <w:lvlText w:val=""/>
      <w:lvlJc w:val="left"/>
      <w:pPr>
        <w:ind w:left="6834" w:hanging="360"/>
      </w:pPr>
      <w:rPr>
        <w:rFonts w:ascii="Wingdings" w:hAnsi="Wingdings" w:hint="default"/>
      </w:rPr>
    </w:lvl>
  </w:abstractNum>
  <w:abstractNum w:abstractNumId="45" w15:restartNumberingAfterBreak="0">
    <w:nsid w:val="6E975E27"/>
    <w:multiLevelType w:val="hybridMultilevel"/>
    <w:tmpl w:val="2DEE5862"/>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15:restartNumberingAfterBreak="0">
    <w:nsid w:val="7078015C"/>
    <w:multiLevelType w:val="hybridMultilevel"/>
    <w:tmpl w:val="960000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16B5546"/>
    <w:multiLevelType w:val="hybridMultilevel"/>
    <w:tmpl w:val="471ED4F6"/>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213098B"/>
    <w:multiLevelType w:val="hybridMultilevel"/>
    <w:tmpl w:val="7B1A39E6"/>
    <w:lvl w:ilvl="0" w:tplc="10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26B356A"/>
    <w:multiLevelType w:val="hybridMultilevel"/>
    <w:tmpl w:val="DC0AE7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27005FD"/>
    <w:multiLevelType w:val="hybridMultilevel"/>
    <w:tmpl w:val="D848C7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1" w15:restartNumberingAfterBreak="0">
    <w:nsid w:val="75A51AFB"/>
    <w:multiLevelType w:val="hybridMultilevel"/>
    <w:tmpl w:val="77BE1B5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6"/>
  </w:num>
  <w:num w:numId="2">
    <w:abstractNumId w:val="33"/>
  </w:num>
  <w:num w:numId="3">
    <w:abstractNumId w:val="35"/>
  </w:num>
  <w:num w:numId="4">
    <w:abstractNumId w:val="2"/>
  </w:num>
  <w:num w:numId="5">
    <w:abstractNumId w:val="9"/>
  </w:num>
  <w:num w:numId="6">
    <w:abstractNumId w:val="27"/>
  </w:num>
  <w:num w:numId="7">
    <w:abstractNumId w:val="23"/>
  </w:num>
  <w:num w:numId="8">
    <w:abstractNumId w:val="19"/>
  </w:num>
  <w:num w:numId="9">
    <w:abstractNumId w:val="15"/>
  </w:num>
  <w:num w:numId="10">
    <w:abstractNumId w:val="18"/>
  </w:num>
  <w:num w:numId="11">
    <w:abstractNumId w:val="42"/>
  </w:num>
  <w:num w:numId="12">
    <w:abstractNumId w:val="32"/>
  </w:num>
  <w:num w:numId="13">
    <w:abstractNumId w:val="48"/>
  </w:num>
  <w:num w:numId="14">
    <w:abstractNumId w:val="43"/>
  </w:num>
  <w:num w:numId="15">
    <w:abstractNumId w:val="1"/>
  </w:num>
  <w:num w:numId="16">
    <w:abstractNumId w:val="29"/>
  </w:num>
  <w:num w:numId="17">
    <w:abstractNumId w:val="46"/>
  </w:num>
  <w:num w:numId="18">
    <w:abstractNumId w:val="49"/>
  </w:num>
  <w:num w:numId="19">
    <w:abstractNumId w:val="31"/>
  </w:num>
  <w:num w:numId="20">
    <w:abstractNumId w:val="30"/>
  </w:num>
  <w:num w:numId="21">
    <w:abstractNumId w:val="51"/>
  </w:num>
  <w:num w:numId="22">
    <w:abstractNumId w:val="14"/>
  </w:num>
  <w:num w:numId="23">
    <w:abstractNumId w:val="13"/>
  </w:num>
  <w:num w:numId="24">
    <w:abstractNumId w:val="8"/>
  </w:num>
  <w:num w:numId="25">
    <w:abstractNumId w:val="0"/>
  </w:num>
  <w:num w:numId="26">
    <w:abstractNumId w:val="36"/>
  </w:num>
  <w:num w:numId="27">
    <w:abstractNumId w:val="45"/>
  </w:num>
  <w:num w:numId="28">
    <w:abstractNumId w:val="20"/>
  </w:num>
  <w:num w:numId="29">
    <w:abstractNumId w:val="3"/>
  </w:num>
  <w:num w:numId="30">
    <w:abstractNumId w:val="5"/>
  </w:num>
  <w:num w:numId="31">
    <w:abstractNumId w:val="41"/>
  </w:num>
  <w:num w:numId="32">
    <w:abstractNumId w:val="40"/>
  </w:num>
  <w:num w:numId="33">
    <w:abstractNumId w:val="16"/>
  </w:num>
  <w:num w:numId="34">
    <w:abstractNumId w:val="24"/>
  </w:num>
  <w:num w:numId="35">
    <w:abstractNumId w:val="38"/>
  </w:num>
  <w:num w:numId="36">
    <w:abstractNumId w:val="21"/>
  </w:num>
  <w:num w:numId="37">
    <w:abstractNumId w:val="22"/>
  </w:num>
  <w:num w:numId="38">
    <w:abstractNumId w:val="10"/>
  </w:num>
  <w:num w:numId="39">
    <w:abstractNumId w:val="50"/>
  </w:num>
  <w:num w:numId="40">
    <w:abstractNumId w:val="28"/>
  </w:num>
  <w:num w:numId="41">
    <w:abstractNumId w:val="44"/>
  </w:num>
  <w:num w:numId="42">
    <w:abstractNumId w:val="25"/>
  </w:num>
  <w:num w:numId="43">
    <w:abstractNumId w:val="4"/>
  </w:num>
  <w:num w:numId="44">
    <w:abstractNumId w:val="11"/>
  </w:num>
  <w:num w:numId="45">
    <w:abstractNumId w:val="37"/>
  </w:num>
  <w:num w:numId="46">
    <w:abstractNumId w:val="34"/>
  </w:num>
  <w:num w:numId="47">
    <w:abstractNumId w:val="7"/>
  </w:num>
  <w:num w:numId="48">
    <w:abstractNumId w:val="39"/>
  </w:num>
  <w:num w:numId="49">
    <w:abstractNumId w:val="47"/>
  </w:num>
  <w:num w:numId="50">
    <w:abstractNumId w:val="26"/>
  </w:num>
  <w:num w:numId="51">
    <w:abstractNumId w:val="12"/>
  </w:num>
  <w:num w:numId="52">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850"/>
    <w:rsid w:val="00016B6F"/>
    <w:rsid w:val="00021827"/>
    <w:rsid w:val="000249A6"/>
    <w:rsid w:val="00026A7C"/>
    <w:rsid w:val="00033E4F"/>
    <w:rsid w:val="00034310"/>
    <w:rsid w:val="00037094"/>
    <w:rsid w:val="00047ED5"/>
    <w:rsid w:val="00057B31"/>
    <w:rsid w:val="00064841"/>
    <w:rsid w:val="000650E9"/>
    <w:rsid w:val="0006696F"/>
    <w:rsid w:val="0007351E"/>
    <w:rsid w:val="00077EC6"/>
    <w:rsid w:val="000836F4"/>
    <w:rsid w:val="00092F6E"/>
    <w:rsid w:val="00094851"/>
    <w:rsid w:val="000B12DA"/>
    <w:rsid w:val="000B1DFC"/>
    <w:rsid w:val="000C0EDE"/>
    <w:rsid w:val="000C5430"/>
    <w:rsid w:val="000C6947"/>
    <w:rsid w:val="000D4111"/>
    <w:rsid w:val="000E186F"/>
    <w:rsid w:val="000F2708"/>
    <w:rsid w:val="000F3716"/>
    <w:rsid w:val="000F40FB"/>
    <w:rsid w:val="00103F70"/>
    <w:rsid w:val="00137193"/>
    <w:rsid w:val="00137941"/>
    <w:rsid w:val="00141D6A"/>
    <w:rsid w:val="0017139D"/>
    <w:rsid w:val="00174195"/>
    <w:rsid w:val="00176AD3"/>
    <w:rsid w:val="00183FEC"/>
    <w:rsid w:val="0018759C"/>
    <w:rsid w:val="001875CD"/>
    <w:rsid w:val="00192F0C"/>
    <w:rsid w:val="001952A4"/>
    <w:rsid w:val="001A75A1"/>
    <w:rsid w:val="001B13D1"/>
    <w:rsid w:val="001B54A4"/>
    <w:rsid w:val="001C24E9"/>
    <w:rsid w:val="001C3440"/>
    <w:rsid w:val="001C663E"/>
    <w:rsid w:val="001C7D8F"/>
    <w:rsid w:val="001D1841"/>
    <w:rsid w:val="001D5A0F"/>
    <w:rsid w:val="001E0217"/>
    <w:rsid w:val="001E0446"/>
    <w:rsid w:val="001E12EF"/>
    <w:rsid w:val="001F091F"/>
    <w:rsid w:val="002059DC"/>
    <w:rsid w:val="002065E9"/>
    <w:rsid w:val="002108A6"/>
    <w:rsid w:val="002120EE"/>
    <w:rsid w:val="00213FA1"/>
    <w:rsid w:val="0022253B"/>
    <w:rsid w:val="00224966"/>
    <w:rsid w:val="002306CA"/>
    <w:rsid w:val="00235250"/>
    <w:rsid w:val="00235444"/>
    <w:rsid w:val="00235850"/>
    <w:rsid w:val="00236AC5"/>
    <w:rsid w:val="0024187A"/>
    <w:rsid w:val="0024411E"/>
    <w:rsid w:val="0025008B"/>
    <w:rsid w:val="00256ECA"/>
    <w:rsid w:val="00263DAB"/>
    <w:rsid w:val="002648ED"/>
    <w:rsid w:val="00265748"/>
    <w:rsid w:val="00270B86"/>
    <w:rsid w:val="002752CF"/>
    <w:rsid w:val="00281CB0"/>
    <w:rsid w:val="00282F5C"/>
    <w:rsid w:val="00283F8B"/>
    <w:rsid w:val="0029765D"/>
    <w:rsid w:val="002A24B6"/>
    <w:rsid w:val="002B03F5"/>
    <w:rsid w:val="002B1765"/>
    <w:rsid w:val="002B219B"/>
    <w:rsid w:val="002B2C1E"/>
    <w:rsid w:val="002C595E"/>
    <w:rsid w:val="002D1271"/>
    <w:rsid w:val="002E33F1"/>
    <w:rsid w:val="002F2F9F"/>
    <w:rsid w:val="002F333F"/>
    <w:rsid w:val="002F4345"/>
    <w:rsid w:val="00316002"/>
    <w:rsid w:val="0034257C"/>
    <w:rsid w:val="0035339E"/>
    <w:rsid w:val="00355C5F"/>
    <w:rsid w:val="003A332F"/>
    <w:rsid w:val="003A42AE"/>
    <w:rsid w:val="003C0254"/>
    <w:rsid w:val="003C61C9"/>
    <w:rsid w:val="003D163A"/>
    <w:rsid w:val="003D5EAF"/>
    <w:rsid w:val="003F2205"/>
    <w:rsid w:val="003F6FD8"/>
    <w:rsid w:val="00401A9C"/>
    <w:rsid w:val="00401CE4"/>
    <w:rsid w:val="004039AE"/>
    <w:rsid w:val="004047EF"/>
    <w:rsid w:val="00425609"/>
    <w:rsid w:val="00427217"/>
    <w:rsid w:val="004312E3"/>
    <w:rsid w:val="00435B87"/>
    <w:rsid w:val="00437AB8"/>
    <w:rsid w:val="00447685"/>
    <w:rsid w:val="00450B45"/>
    <w:rsid w:val="00452C30"/>
    <w:rsid w:val="00463C10"/>
    <w:rsid w:val="00464D7E"/>
    <w:rsid w:val="0047121C"/>
    <w:rsid w:val="00476E46"/>
    <w:rsid w:val="00483C17"/>
    <w:rsid w:val="004B0511"/>
    <w:rsid w:val="004B4659"/>
    <w:rsid w:val="004C6C65"/>
    <w:rsid w:val="004D6925"/>
    <w:rsid w:val="004E3B3D"/>
    <w:rsid w:val="004E59C6"/>
    <w:rsid w:val="004E606F"/>
    <w:rsid w:val="004F596B"/>
    <w:rsid w:val="004F6089"/>
    <w:rsid w:val="00500F79"/>
    <w:rsid w:val="00506419"/>
    <w:rsid w:val="00507107"/>
    <w:rsid w:val="005101CF"/>
    <w:rsid w:val="00517A0D"/>
    <w:rsid w:val="00521DC4"/>
    <w:rsid w:val="0053600D"/>
    <w:rsid w:val="005500DC"/>
    <w:rsid w:val="005534A5"/>
    <w:rsid w:val="005536E5"/>
    <w:rsid w:val="0055398F"/>
    <w:rsid w:val="005609A6"/>
    <w:rsid w:val="00562C25"/>
    <w:rsid w:val="00567A9E"/>
    <w:rsid w:val="005768E0"/>
    <w:rsid w:val="00582481"/>
    <w:rsid w:val="00582597"/>
    <w:rsid w:val="005829F4"/>
    <w:rsid w:val="0058664B"/>
    <w:rsid w:val="005929BE"/>
    <w:rsid w:val="005936A4"/>
    <w:rsid w:val="00595030"/>
    <w:rsid w:val="005972C8"/>
    <w:rsid w:val="005A15A9"/>
    <w:rsid w:val="005A3B5E"/>
    <w:rsid w:val="005A5E9F"/>
    <w:rsid w:val="005B22E1"/>
    <w:rsid w:val="005E3FB9"/>
    <w:rsid w:val="005F2DAF"/>
    <w:rsid w:val="0060288D"/>
    <w:rsid w:val="0061265F"/>
    <w:rsid w:val="00620127"/>
    <w:rsid w:val="00621B6E"/>
    <w:rsid w:val="00633718"/>
    <w:rsid w:val="006433ED"/>
    <w:rsid w:val="00645AFB"/>
    <w:rsid w:val="00650C57"/>
    <w:rsid w:val="00661E30"/>
    <w:rsid w:val="00670065"/>
    <w:rsid w:val="00672B39"/>
    <w:rsid w:val="00677264"/>
    <w:rsid w:val="0067732E"/>
    <w:rsid w:val="00680005"/>
    <w:rsid w:val="006A3021"/>
    <w:rsid w:val="006B5C65"/>
    <w:rsid w:val="006C2887"/>
    <w:rsid w:val="006C3C27"/>
    <w:rsid w:val="006D23EB"/>
    <w:rsid w:val="006F43A5"/>
    <w:rsid w:val="006F6268"/>
    <w:rsid w:val="007007C0"/>
    <w:rsid w:val="00702A57"/>
    <w:rsid w:val="00702BC8"/>
    <w:rsid w:val="007115C1"/>
    <w:rsid w:val="007203D8"/>
    <w:rsid w:val="00722D5F"/>
    <w:rsid w:val="00737C08"/>
    <w:rsid w:val="00741158"/>
    <w:rsid w:val="007517B5"/>
    <w:rsid w:val="007578E1"/>
    <w:rsid w:val="00760942"/>
    <w:rsid w:val="00775804"/>
    <w:rsid w:val="0078417C"/>
    <w:rsid w:val="007875E0"/>
    <w:rsid w:val="00797BC7"/>
    <w:rsid w:val="007A3603"/>
    <w:rsid w:val="007A7CA7"/>
    <w:rsid w:val="007B74EF"/>
    <w:rsid w:val="007C6A18"/>
    <w:rsid w:val="007D27D9"/>
    <w:rsid w:val="007D48AE"/>
    <w:rsid w:val="007E33ED"/>
    <w:rsid w:val="008018CB"/>
    <w:rsid w:val="00805E44"/>
    <w:rsid w:val="00806A3C"/>
    <w:rsid w:val="0080757B"/>
    <w:rsid w:val="00807AF7"/>
    <w:rsid w:val="00817FD4"/>
    <w:rsid w:val="00847DA2"/>
    <w:rsid w:val="00863F4D"/>
    <w:rsid w:val="0087641D"/>
    <w:rsid w:val="00883B18"/>
    <w:rsid w:val="00895091"/>
    <w:rsid w:val="008A11C6"/>
    <w:rsid w:val="008B3CD2"/>
    <w:rsid w:val="008B547F"/>
    <w:rsid w:val="008C1DC9"/>
    <w:rsid w:val="008C6AE1"/>
    <w:rsid w:val="008D2E30"/>
    <w:rsid w:val="008E4638"/>
    <w:rsid w:val="008E4EB0"/>
    <w:rsid w:val="008F161E"/>
    <w:rsid w:val="008F7F75"/>
    <w:rsid w:val="00903560"/>
    <w:rsid w:val="00903696"/>
    <w:rsid w:val="00906FCD"/>
    <w:rsid w:val="00924B6E"/>
    <w:rsid w:val="009254E0"/>
    <w:rsid w:val="00925ABE"/>
    <w:rsid w:val="009436AC"/>
    <w:rsid w:val="00967743"/>
    <w:rsid w:val="009716C6"/>
    <w:rsid w:val="00973FAC"/>
    <w:rsid w:val="00976306"/>
    <w:rsid w:val="00991536"/>
    <w:rsid w:val="00991557"/>
    <w:rsid w:val="0099374E"/>
    <w:rsid w:val="00994362"/>
    <w:rsid w:val="00995594"/>
    <w:rsid w:val="009A0F75"/>
    <w:rsid w:val="009A621C"/>
    <w:rsid w:val="009B0851"/>
    <w:rsid w:val="009B6EDB"/>
    <w:rsid w:val="009C2CD6"/>
    <w:rsid w:val="009D4D4E"/>
    <w:rsid w:val="009D7D0D"/>
    <w:rsid w:val="009E0400"/>
    <w:rsid w:val="009E639F"/>
    <w:rsid w:val="009F564F"/>
    <w:rsid w:val="00A03D8B"/>
    <w:rsid w:val="00A130BA"/>
    <w:rsid w:val="00A23888"/>
    <w:rsid w:val="00A421D1"/>
    <w:rsid w:val="00A54B60"/>
    <w:rsid w:val="00A55D7E"/>
    <w:rsid w:val="00A70CE3"/>
    <w:rsid w:val="00A76EED"/>
    <w:rsid w:val="00A906CC"/>
    <w:rsid w:val="00AA591E"/>
    <w:rsid w:val="00AC3FB3"/>
    <w:rsid w:val="00AD4F14"/>
    <w:rsid w:val="00AE174F"/>
    <w:rsid w:val="00AE243D"/>
    <w:rsid w:val="00AE5E4B"/>
    <w:rsid w:val="00B01806"/>
    <w:rsid w:val="00B01961"/>
    <w:rsid w:val="00B06911"/>
    <w:rsid w:val="00B11C76"/>
    <w:rsid w:val="00B23D6C"/>
    <w:rsid w:val="00B377D6"/>
    <w:rsid w:val="00B468AB"/>
    <w:rsid w:val="00B47D6E"/>
    <w:rsid w:val="00B51839"/>
    <w:rsid w:val="00B56447"/>
    <w:rsid w:val="00B6691C"/>
    <w:rsid w:val="00B71CC3"/>
    <w:rsid w:val="00B80215"/>
    <w:rsid w:val="00B94F61"/>
    <w:rsid w:val="00B954CD"/>
    <w:rsid w:val="00B95A7E"/>
    <w:rsid w:val="00BA112A"/>
    <w:rsid w:val="00BB1387"/>
    <w:rsid w:val="00BC260C"/>
    <w:rsid w:val="00BF4CDB"/>
    <w:rsid w:val="00C01A37"/>
    <w:rsid w:val="00C07D23"/>
    <w:rsid w:val="00C139CC"/>
    <w:rsid w:val="00C17FAE"/>
    <w:rsid w:val="00C22334"/>
    <w:rsid w:val="00C2270B"/>
    <w:rsid w:val="00C2484C"/>
    <w:rsid w:val="00C40019"/>
    <w:rsid w:val="00C42D91"/>
    <w:rsid w:val="00C53AA2"/>
    <w:rsid w:val="00C56A83"/>
    <w:rsid w:val="00C610AB"/>
    <w:rsid w:val="00C6445A"/>
    <w:rsid w:val="00C64DB5"/>
    <w:rsid w:val="00C73BB6"/>
    <w:rsid w:val="00C81BB1"/>
    <w:rsid w:val="00C927F6"/>
    <w:rsid w:val="00CB49AC"/>
    <w:rsid w:val="00CD1BDF"/>
    <w:rsid w:val="00CD3AAB"/>
    <w:rsid w:val="00CF7BEB"/>
    <w:rsid w:val="00CF7CBF"/>
    <w:rsid w:val="00D072E9"/>
    <w:rsid w:val="00D1029A"/>
    <w:rsid w:val="00D21E96"/>
    <w:rsid w:val="00D279D4"/>
    <w:rsid w:val="00D42774"/>
    <w:rsid w:val="00D53967"/>
    <w:rsid w:val="00D54738"/>
    <w:rsid w:val="00D5633A"/>
    <w:rsid w:val="00D57049"/>
    <w:rsid w:val="00D700BD"/>
    <w:rsid w:val="00D71362"/>
    <w:rsid w:val="00D77577"/>
    <w:rsid w:val="00DA662F"/>
    <w:rsid w:val="00DC2B2D"/>
    <w:rsid w:val="00DC38EA"/>
    <w:rsid w:val="00DC4C8A"/>
    <w:rsid w:val="00DC61D9"/>
    <w:rsid w:val="00DD5E21"/>
    <w:rsid w:val="00DE1A5B"/>
    <w:rsid w:val="00DF33FB"/>
    <w:rsid w:val="00DF3CD7"/>
    <w:rsid w:val="00E0156D"/>
    <w:rsid w:val="00E02003"/>
    <w:rsid w:val="00E05867"/>
    <w:rsid w:val="00E05B06"/>
    <w:rsid w:val="00E06FCE"/>
    <w:rsid w:val="00E10A31"/>
    <w:rsid w:val="00E23E10"/>
    <w:rsid w:val="00E26C58"/>
    <w:rsid w:val="00E32358"/>
    <w:rsid w:val="00E330AB"/>
    <w:rsid w:val="00E51FE4"/>
    <w:rsid w:val="00E60B66"/>
    <w:rsid w:val="00E60D16"/>
    <w:rsid w:val="00E63EF4"/>
    <w:rsid w:val="00E77AC3"/>
    <w:rsid w:val="00E93F61"/>
    <w:rsid w:val="00EA39D7"/>
    <w:rsid w:val="00EA4D43"/>
    <w:rsid w:val="00EB3017"/>
    <w:rsid w:val="00EB5EA9"/>
    <w:rsid w:val="00EB6D8C"/>
    <w:rsid w:val="00EC08DA"/>
    <w:rsid w:val="00EC0B8A"/>
    <w:rsid w:val="00EC36EE"/>
    <w:rsid w:val="00EC400A"/>
    <w:rsid w:val="00EC4741"/>
    <w:rsid w:val="00ED1210"/>
    <w:rsid w:val="00EE3E4A"/>
    <w:rsid w:val="00EE509E"/>
    <w:rsid w:val="00EF634C"/>
    <w:rsid w:val="00F00E5F"/>
    <w:rsid w:val="00F14931"/>
    <w:rsid w:val="00F21113"/>
    <w:rsid w:val="00F2364E"/>
    <w:rsid w:val="00F37C11"/>
    <w:rsid w:val="00F623CA"/>
    <w:rsid w:val="00F6240D"/>
    <w:rsid w:val="00F62F0E"/>
    <w:rsid w:val="00F81C66"/>
    <w:rsid w:val="00F9095F"/>
    <w:rsid w:val="00FB2266"/>
    <w:rsid w:val="00FB46D0"/>
    <w:rsid w:val="00FB5F5A"/>
    <w:rsid w:val="00FC036B"/>
    <w:rsid w:val="00FC30E5"/>
    <w:rsid w:val="00FD6F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C495C6"/>
  <w15:docId w15:val="{FF52B71F-5B3B-4FAA-9826-CED26770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D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732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B12D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B547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850"/>
    <w:pPr>
      <w:tabs>
        <w:tab w:val="center" w:pos="4680"/>
        <w:tab w:val="right" w:pos="9360"/>
      </w:tabs>
    </w:pPr>
  </w:style>
  <w:style w:type="character" w:customStyle="1" w:styleId="HeaderChar">
    <w:name w:val="Header Char"/>
    <w:basedOn w:val="DefaultParagraphFont"/>
    <w:link w:val="Header"/>
    <w:uiPriority w:val="99"/>
    <w:rsid w:val="00235850"/>
  </w:style>
  <w:style w:type="paragraph" w:styleId="Footer">
    <w:name w:val="footer"/>
    <w:basedOn w:val="Normal"/>
    <w:link w:val="FooterChar"/>
    <w:uiPriority w:val="99"/>
    <w:unhideWhenUsed/>
    <w:rsid w:val="00235850"/>
    <w:pPr>
      <w:tabs>
        <w:tab w:val="center" w:pos="4680"/>
        <w:tab w:val="right" w:pos="9360"/>
      </w:tabs>
    </w:pPr>
  </w:style>
  <w:style w:type="character" w:customStyle="1" w:styleId="FooterChar">
    <w:name w:val="Footer Char"/>
    <w:basedOn w:val="DefaultParagraphFont"/>
    <w:link w:val="Footer"/>
    <w:uiPriority w:val="99"/>
    <w:rsid w:val="00235850"/>
  </w:style>
  <w:style w:type="paragraph" w:styleId="Title">
    <w:name w:val="Title"/>
    <w:basedOn w:val="Normal"/>
    <w:next w:val="Normal"/>
    <w:link w:val="TitleChar"/>
    <w:uiPriority w:val="10"/>
    <w:qFormat/>
    <w:rsid w:val="008C1DC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DC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C1DC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13FA1"/>
    <w:pPr>
      <w:outlineLvl w:val="9"/>
    </w:pPr>
    <w:rPr>
      <w:lang w:val="en-US"/>
    </w:rPr>
  </w:style>
  <w:style w:type="paragraph" w:styleId="TOC1">
    <w:name w:val="toc 1"/>
    <w:basedOn w:val="Normal"/>
    <w:next w:val="Normal"/>
    <w:autoRedefine/>
    <w:uiPriority w:val="39"/>
    <w:unhideWhenUsed/>
    <w:rsid w:val="00EB6D8C"/>
    <w:pPr>
      <w:tabs>
        <w:tab w:val="right" w:leader="dot" w:pos="9350"/>
      </w:tabs>
    </w:pPr>
    <w:rPr>
      <w:rFonts w:ascii="Times New Roman" w:hAnsi="Times New Roman" w:cs="Times New Roman"/>
      <w:bCs/>
      <w:noProof/>
      <w:szCs w:val="24"/>
    </w:rPr>
  </w:style>
  <w:style w:type="character" w:styleId="Hyperlink">
    <w:name w:val="Hyperlink"/>
    <w:basedOn w:val="DefaultParagraphFont"/>
    <w:uiPriority w:val="99"/>
    <w:unhideWhenUsed/>
    <w:rsid w:val="00213FA1"/>
    <w:rPr>
      <w:color w:val="0563C1" w:themeColor="hyperlink"/>
      <w:u w:val="single"/>
    </w:rPr>
  </w:style>
  <w:style w:type="character" w:customStyle="1" w:styleId="Heading2Char">
    <w:name w:val="Heading 2 Char"/>
    <w:basedOn w:val="DefaultParagraphFont"/>
    <w:link w:val="Heading2"/>
    <w:uiPriority w:val="9"/>
    <w:rsid w:val="0067732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F564F"/>
    <w:pPr>
      <w:ind w:left="720"/>
      <w:contextualSpacing/>
    </w:pPr>
  </w:style>
  <w:style w:type="paragraph" w:styleId="TOC2">
    <w:name w:val="toc 2"/>
    <w:basedOn w:val="Normal"/>
    <w:next w:val="Normal"/>
    <w:autoRedefine/>
    <w:uiPriority w:val="39"/>
    <w:unhideWhenUsed/>
    <w:rsid w:val="00EB5EA9"/>
    <w:pPr>
      <w:tabs>
        <w:tab w:val="left" w:pos="1276"/>
        <w:tab w:val="right" w:leader="dot" w:pos="9350"/>
      </w:tabs>
      <w:spacing w:after="60"/>
      <w:ind w:left="221"/>
    </w:pPr>
  </w:style>
  <w:style w:type="paragraph" w:styleId="NoSpacing">
    <w:name w:val="No Spacing"/>
    <w:uiPriority w:val="1"/>
    <w:qFormat/>
    <w:rsid w:val="00EB5EA9"/>
  </w:style>
  <w:style w:type="paragraph" w:customStyle="1" w:styleId="xmsonormal">
    <w:name w:val="x_msonormal"/>
    <w:basedOn w:val="Normal"/>
    <w:rsid w:val="00C42D91"/>
    <w:pPr>
      <w:spacing w:before="100" w:beforeAutospacing="1" w:after="100" w:afterAutospacing="1"/>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C42D91"/>
    <w:rPr>
      <w:sz w:val="16"/>
      <w:szCs w:val="16"/>
    </w:rPr>
  </w:style>
  <w:style w:type="paragraph" w:styleId="CommentText">
    <w:name w:val="annotation text"/>
    <w:basedOn w:val="Normal"/>
    <w:link w:val="CommentTextChar"/>
    <w:uiPriority w:val="99"/>
    <w:unhideWhenUsed/>
    <w:rsid w:val="00C42D91"/>
    <w:rPr>
      <w:rFonts w:ascii="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C42D91"/>
    <w:rPr>
      <w:rFonts w:ascii="Times New Roman" w:hAnsi="Times New Roman" w:cs="Times New Roman"/>
      <w:sz w:val="20"/>
      <w:szCs w:val="20"/>
      <w:lang w:val="en-US"/>
    </w:rPr>
  </w:style>
  <w:style w:type="paragraph" w:styleId="BalloonText">
    <w:name w:val="Balloon Text"/>
    <w:basedOn w:val="Normal"/>
    <w:link w:val="BalloonTextChar"/>
    <w:uiPriority w:val="99"/>
    <w:semiHidden/>
    <w:unhideWhenUsed/>
    <w:rsid w:val="00C42D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D9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D7D0D"/>
    <w:pPr>
      <w:spacing w:after="160"/>
    </w:pPr>
    <w:rPr>
      <w:rFonts w:ascii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9D7D0D"/>
    <w:rPr>
      <w:rFonts w:ascii="Times New Roman" w:hAnsi="Times New Roman" w:cs="Times New Roman"/>
      <w:b/>
      <w:bCs/>
      <w:sz w:val="20"/>
      <w:szCs w:val="20"/>
      <w:lang w:val="en-US"/>
    </w:rPr>
  </w:style>
  <w:style w:type="table" w:styleId="TableGrid">
    <w:name w:val="Table Grid"/>
    <w:basedOn w:val="TableNormal"/>
    <w:uiPriority w:val="39"/>
    <w:rsid w:val="00195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21B6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21B6E"/>
    <w:rPr>
      <w:rFonts w:eastAsiaTheme="minorEastAsia"/>
      <w:color w:val="5A5A5A" w:themeColor="text1" w:themeTint="A5"/>
      <w:spacing w:val="15"/>
    </w:rPr>
  </w:style>
  <w:style w:type="paragraph" w:styleId="NormalWeb">
    <w:name w:val="Normal (Web)"/>
    <w:basedOn w:val="Normal"/>
    <w:uiPriority w:val="99"/>
    <w:unhideWhenUsed/>
    <w:rsid w:val="007578E1"/>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UnresolvedMention1">
    <w:name w:val="Unresolved Mention1"/>
    <w:basedOn w:val="DefaultParagraphFont"/>
    <w:uiPriority w:val="99"/>
    <w:semiHidden/>
    <w:unhideWhenUsed/>
    <w:rsid w:val="00D71362"/>
    <w:rPr>
      <w:color w:val="605E5C"/>
      <w:shd w:val="clear" w:color="auto" w:fill="E1DFDD"/>
    </w:rPr>
  </w:style>
  <w:style w:type="character" w:styleId="FollowedHyperlink">
    <w:name w:val="FollowedHyperlink"/>
    <w:basedOn w:val="DefaultParagraphFont"/>
    <w:uiPriority w:val="99"/>
    <w:semiHidden/>
    <w:unhideWhenUsed/>
    <w:rsid w:val="00EC0B8A"/>
    <w:rPr>
      <w:color w:val="954F72" w:themeColor="followedHyperlink"/>
      <w:u w:val="single"/>
    </w:rPr>
  </w:style>
  <w:style w:type="paragraph" w:styleId="FootnoteText">
    <w:name w:val="footnote text"/>
    <w:basedOn w:val="Normal"/>
    <w:link w:val="FootnoteTextChar"/>
    <w:uiPriority w:val="99"/>
    <w:semiHidden/>
    <w:unhideWhenUsed/>
    <w:rsid w:val="00265748"/>
    <w:rPr>
      <w:sz w:val="20"/>
      <w:szCs w:val="20"/>
    </w:rPr>
  </w:style>
  <w:style w:type="character" w:customStyle="1" w:styleId="FootnoteTextChar">
    <w:name w:val="Footnote Text Char"/>
    <w:basedOn w:val="DefaultParagraphFont"/>
    <w:link w:val="FootnoteText"/>
    <w:uiPriority w:val="99"/>
    <w:semiHidden/>
    <w:rsid w:val="00265748"/>
    <w:rPr>
      <w:sz w:val="20"/>
      <w:szCs w:val="20"/>
    </w:rPr>
  </w:style>
  <w:style w:type="character" w:styleId="FootnoteReference">
    <w:name w:val="footnote reference"/>
    <w:basedOn w:val="DefaultParagraphFont"/>
    <w:uiPriority w:val="99"/>
    <w:semiHidden/>
    <w:unhideWhenUsed/>
    <w:rsid w:val="00265748"/>
    <w:rPr>
      <w:vertAlign w:val="superscript"/>
    </w:rPr>
  </w:style>
  <w:style w:type="paragraph" w:styleId="Revision">
    <w:name w:val="Revision"/>
    <w:hidden/>
    <w:uiPriority w:val="99"/>
    <w:semiHidden/>
    <w:rsid w:val="007C6A18"/>
  </w:style>
  <w:style w:type="character" w:customStyle="1" w:styleId="wb-inv">
    <w:name w:val="wb-inv"/>
    <w:basedOn w:val="DefaultParagraphFont"/>
    <w:rsid w:val="00562C25"/>
  </w:style>
  <w:style w:type="paragraph" w:customStyle="1" w:styleId="wb-inv1">
    <w:name w:val="wb-inv1"/>
    <w:basedOn w:val="Normal"/>
    <w:rsid w:val="00562C25"/>
    <w:pPr>
      <w:spacing w:before="100" w:beforeAutospacing="1" w:after="100" w:afterAutospacing="1"/>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282F5C"/>
    <w:rPr>
      <w:b/>
      <w:bCs/>
    </w:rPr>
  </w:style>
  <w:style w:type="character" w:customStyle="1" w:styleId="Heading3Char">
    <w:name w:val="Heading 3 Char"/>
    <w:basedOn w:val="DefaultParagraphFont"/>
    <w:link w:val="Heading3"/>
    <w:uiPriority w:val="9"/>
    <w:rsid w:val="000B12D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B547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700760">
      <w:bodyDiv w:val="1"/>
      <w:marLeft w:val="0"/>
      <w:marRight w:val="0"/>
      <w:marTop w:val="0"/>
      <w:marBottom w:val="0"/>
      <w:divBdr>
        <w:top w:val="none" w:sz="0" w:space="0" w:color="auto"/>
        <w:left w:val="none" w:sz="0" w:space="0" w:color="auto"/>
        <w:bottom w:val="none" w:sz="0" w:space="0" w:color="auto"/>
        <w:right w:val="none" w:sz="0" w:space="0" w:color="auto"/>
      </w:divBdr>
    </w:div>
    <w:div w:id="1029603004">
      <w:bodyDiv w:val="1"/>
      <w:marLeft w:val="0"/>
      <w:marRight w:val="0"/>
      <w:marTop w:val="0"/>
      <w:marBottom w:val="0"/>
      <w:divBdr>
        <w:top w:val="none" w:sz="0" w:space="0" w:color="auto"/>
        <w:left w:val="none" w:sz="0" w:space="0" w:color="auto"/>
        <w:bottom w:val="none" w:sz="0" w:space="0" w:color="auto"/>
        <w:right w:val="none" w:sz="0" w:space="0" w:color="auto"/>
      </w:divBdr>
    </w:div>
    <w:div w:id="1361859604">
      <w:bodyDiv w:val="1"/>
      <w:marLeft w:val="0"/>
      <w:marRight w:val="0"/>
      <w:marTop w:val="0"/>
      <w:marBottom w:val="0"/>
      <w:divBdr>
        <w:top w:val="none" w:sz="0" w:space="0" w:color="auto"/>
        <w:left w:val="none" w:sz="0" w:space="0" w:color="auto"/>
        <w:bottom w:val="none" w:sz="0" w:space="0" w:color="auto"/>
        <w:right w:val="none" w:sz="0" w:space="0" w:color="auto"/>
      </w:divBdr>
    </w:div>
    <w:div w:id="1528566795">
      <w:bodyDiv w:val="1"/>
      <w:marLeft w:val="0"/>
      <w:marRight w:val="0"/>
      <w:marTop w:val="0"/>
      <w:marBottom w:val="0"/>
      <w:divBdr>
        <w:top w:val="none" w:sz="0" w:space="0" w:color="auto"/>
        <w:left w:val="none" w:sz="0" w:space="0" w:color="auto"/>
        <w:bottom w:val="none" w:sz="0" w:space="0" w:color="auto"/>
        <w:right w:val="none" w:sz="0" w:space="0" w:color="auto"/>
      </w:divBdr>
    </w:div>
    <w:div w:id="169333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8E87E-B4CF-47F7-B1C1-AF026867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3350</Words>
  <Characters>19099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Institute for Work &amp; Health</Company>
  <LinksUpToDate>false</LinksUpToDate>
  <CharactersWithSpaces>22405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Emile Tompa</dc:creator>
  <cp:lastModifiedBy>Sabrina Imam</cp:lastModifiedBy>
  <cp:revision>2</cp:revision>
  <cp:lastPrinted>2018-11-20T19:23:00Z</cp:lastPrinted>
  <dcterms:created xsi:type="dcterms:W3CDTF">2019-11-19T20:02:00Z</dcterms:created>
  <dcterms:modified xsi:type="dcterms:W3CDTF">2019-11-19T20:02:00Z</dcterms:modified>
</cp:coreProperties>
</file>